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B3" w:rsidRDefault="00337AB3" w:rsidP="00337AB3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</w:p>
    <w:p w:rsidR="00337AB3" w:rsidRDefault="00337AB3" w:rsidP="00337AB3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337AB3" w:rsidTr="00964FF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3" w:rsidRPr="00025F89" w:rsidRDefault="00337AB3" w:rsidP="00025F89">
            <w:pPr>
              <w:rPr>
                <w:rFonts w:ascii="Times New Roman" w:hAnsi="Times New Roman" w:cs="Times New Roman"/>
              </w:rPr>
            </w:pPr>
            <w:r w:rsidRPr="00025F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Название площадки: </w:t>
            </w:r>
            <w:r w:rsidR="008A56FC" w:rsidRPr="00025F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5F8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Инвистиционная площадка №67-12-01</w:t>
            </w:r>
            <w:r w:rsidRPr="00025F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="00025F89" w:rsidRPr="00025F8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«Белики»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3" w:rsidRDefault="00337AB3" w:rsidP="00964FFE"/>
        </w:tc>
      </w:tr>
      <w:tr w:rsidR="00337AB3" w:rsidTr="00964FF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B3" w:rsidRDefault="00337AB3" w:rsidP="00964FF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B3" w:rsidRDefault="00337AB3" w:rsidP="00964FFE"/>
        </w:tc>
      </w:tr>
      <w:tr w:rsidR="00337AB3" w:rsidTr="00964FF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B3" w:rsidRDefault="00337AB3" w:rsidP="00964FFE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337AB3" w:rsidRDefault="00337AB3" w:rsidP="006A7B17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38" w:rsidRPr="00BA1270" w:rsidRDefault="005B2C38" w:rsidP="00BA1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Смоленская область, Монатырщинский район, </w:t>
            </w:r>
          </w:p>
          <w:p w:rsidR="005B2C38" w:rsidRPr="00BA1270" w:rsidRDefault="005B2C38" w:rsidP="00BA12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>Каблуковское</w:t>
            </w:r>
            <w:r w:rsidR="00BA1270"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с/п, </w:t>
            </w:r>
            <w:r w:rsidR="00025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5F89" w:rsidRPr="00E1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r w:rsidR="00025F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5F89" w:rsidRPr="00E1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Логи</w:t>
            </w:r>
            <w:r w:rsidR="00025F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2323" w:rsidRDefault="00262323" w:rsidP="00BA1270">
            <w:pPr>
              <w:spacing w:after="0"/>
            </w:pPr>
          </w:p>
        </w:tc>
      </w:tr>
      <w:tr w:rsidR="00337AB3" w:rsidTr="00964FF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B3" w:rsidRDefault="00337AB3" w:rsidP="00964FFE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B3" w:rsidRDefault="00337AB3" w:rsidP="00964FFE"/>
        </w:tc>
      </w:tr>
      <w:tr w:rsidR="00337AB3" w:rsidTr="00964FF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AB3" w:rsidRDefault="00337AB3" w:rsidP="00964FFE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B7" w:rsidRPr="00D84EB7" w:rsidRDefault="00D84EB7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</w:tbl>
    <w:p w:rsidR="00337AB3" w:rsidRDefault="00337AB3" w:rsidP="00337AB3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</w:tcPr>
          <w:p w:rsidR="00D84EB7" w:rsidRPr="00D84EB7" w:rsidRDefault="00D84EB7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 Александр Александрович</w:t>
            </w:r>
          </w:p>
        </w:tc>
      </w:tr>
      <w:tr w:rsidR="00337AB3" w:rsidTr="00964FFE">
        <w:tc>
          <w:tcPr>
            <w:tcW w:w="2634" w:type="pct"/>
            <w:tcBorders>
              <w:bottom w:val="single" w:sz="6" w:space="0" w:color="auto"/>
            </w:tcBorders>
          </w:tcPr>
          <w:p w:rsidR="00337AB3" w:rsidRDefault="00337AB3" w:rsidP="00964FFE">
            <w:pPr>
              <w:shd w:val="clear" w:color="auto" w:fill="FFFFFF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337AB3" w:rsidRDefault="00337AB3" w:rsidP="00964FFE"/>
        </w:tc>
      </w:tr>
      <w:tr w:rsidR="00337AB3" w:rsidTr="00964FFE">
        <w:tc>
          <w:tcPr>
            <w:tcW w:w="2634" w:type="pct"/>
            <w:tcBorders>
              <w:bottom w:val="nil"/>
            </w:tcBorders>
          </w:tcPr>
          <w:p w:rsidR="00337AB3" w:rsidRDefault="00337AB3" w:rsidP="00F41C44">
            <w:pPr>
              <w:spacing w:after="0"/>
            </w:pPr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337AB3" w:rsidRDefault="00337AB3" w:rsidP="00F41C44">
            <w:pPr>
              <w:spacing w:after="0"/>
            </w:pPr>
          </w:p>
        </w:tc>
      </w:tr>
      <w:tr w:rsidR="00337AB3" w:rsidTr="00964FFE">
        <w:tc>
          <w:tcPr>
            <w:tcW w:w="2634" w:type="pct"/>
            <w:tcBorders>
              <w:top w:val="nil"/>
              <w:bottom w:val="nil"/>
            </w:tcBorders>
          </w:tcPr>
          <w:p w:rsidR="00337AB3" w:rsidRDefault="00337AB3" w:rsidP="00F41C44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337AB3" w:rsidRDefault="00337AB3" w:rsidP="00F41C44">
            <w:pPr>
              <w:spacing w:after="0"/>
            </w:pPr>
          </w:p>
        </w:tc>
      </w:tr>
      <w:tr w:rsidR="00337AB3" w:rsidTr="00964FFE">
        <w:tc>
          <w:tcPr>
            <w:tcW w:w="2634" w:type="pct"/>
            <w:tcBorders>
              <w:top w:val="nil"/>
              <w:bottom w:val="nil"/>
            </w:tcBorders>
          </w:tcPr>
          <w:p w:rsidR="00337AB3" w:rsidRDefault="00337AB3" w:rsidP="00F41C44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D84EB7" w:rsidRPr="001002F6" w:rsidRDefault="001002F6" w:rsidP="00F41C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 Сергей Леонидович</w:t>
            </w:r>
          </w:p>
          <w:p w:rsidR="001002F6" w:rsidRPr="001002F6" w:rsidRDefault="001002F6" w:rsidP="00F41C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8 903 891 5551</w:t>
            </w:r>
          </w:p>
          <w:p w:rsidR="001002F6" w:rsidRPr="001002F6" w:rsidRDefault="00A54FF8" w:rsidP="00F41C44">
            <w:pPr>
              <w:spacing w:after="0"/>
            </w:pPr>
            <w:hyperlink r:id="rId4" w:history="1"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larchenkov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1002F6" w:rsidRPr="001002F6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37AB3" w:rsidTr="00964FFE">
        <w:tc>
          <w:tcPr>
            <w:tcW w:w="2634" w:type="pct"/>
            <w:tcBorders>
              <w:top w:val="nil"/>
            </w:tcBorders>
          </w:tcPr>
          <w:p w:rsidR="00337AB3" w:rsidRDefault="00337AB3" w:rsidP="00F41C44">
            <w:pPr>
              <w:shd w:val="clear" w:color="auto" w:fill="FFFFFF"/>
              <w:spacing w:after="0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337AB3" w:rsidRDefault="00337AB3" w:rsidP="00F41C44">
            <w:pPr>
              <w:spacing w:after="0"/>
            </w:pPr>
          </w:p>
        </w:tc>
      </w:tr>
      <w:tr w:rsidR="00337AB3" w:rsidTr="00964FFE">
        <w:tc>
          <w:tcPr>
            <w:tcW w:w="2634" w:type="pct"/>
          </w:tcPr>
          <w:p w:rsidR="00337AB3" w:rsidRDefault="00337AB3" w:rsidP="00F41C4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6" w:type="pct"/>
          </w:tcPr>
          <w:p w:rsidR="00D84EB7" w:rsidRPr="00D84EB7" w:rsidRDefault="00D84EB7" w:rsidP="0096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337AB3" w:rsidRDefault="00D1688E" w:rsidP="00964FFE">
            <w:pPr>
              <w:jc w:val="both"/>
              <w:rPr>
                <w:rFonts w:ascii="Arial" w:hAnsi="Arial" w:cs="Arial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выкуп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2749B" w:rsidRPr="00F2749B" w:rsidRDefault="00F2749B" w:rsidP="00964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37AB3" w:rsidRDefault="00337AB3" w:rsidP="00964FFE">
            <w:pPr>
              <w:jc w:val="both"/>
              <w:rPr>
                <w:rFonts w:ascii="Arial" w:hAnsi="Arial" w:cs="Arial"/>
              </w:rPr>
            </w:pP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37AB3" w:rsidRDefault="00337AB3" w:rsidP="00964FFE"/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337AB3" w:rsidRPr="00D84EB7" w:rsidRDefault="00D84EB7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B7">
              <w:rPr>
                <w:rFonts w:ascii="Times New Roman" w:hAnsi="Times New Roman" w:cs="Times New Roman"/>
                <w:b/>
                <w:sz w:val="24"/>
                <w:szCs w:val="24"/>
              </w:rPr>
              <w:t>178 га</w:t>
            </w:r>
            <w:r w:rsidR="00D168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337AB3" w:rsidRDefault="00337AB3" w:rsidP="00964FFE"/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1002F6" w:rsidRDefault="001002F6" w:rsidP="00964FFE"/>
          <w:p w:rsidR="003961C3" w:rsidRPr="003961C3" w:rsidRDefault="003961C3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емли сельскохозяйственного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pacing w:val="-3"/>
              </w:rPr>
            </w:pPr>
            <w:proofErr w:type="gramStart"/>
            <w:r>
              <w:rPr>
                <w:spacing w:val="-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AF0E59" w:rsidRDefault="00AF0E59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1C3" w:rsidRPr="00D1688E" w:rsidRDefault="003961C3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37AB3" w:rsidRPr="00D1688E" w:rsidRDefault="001002F6" w:rsidP="00964FFE">
            <w:pPr>
              <w:rPr>
                <w:rFonts w:ascii="Times New Roman" w:hAnsi="Times New Roman" w:cs="Times New Roman"/>
                <w:b/>
              </w:rPr>
            </w:pPr>
            <w:r w:rsidRPr="00D1688E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961C3" w:rsidRPr="003961C3" w:rsidRDefault="003961C3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C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</w:rPr>
              <w:t>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1002F6" w:rsidRDefault="001002F6" w:rsidP="00964FFE"/>
          <w:p w:rsidR="005B2C38" w:rsidRPr="005B2C38" w:rsidRDefault="005B2C38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38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поверхность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lastRenderedPageBreak/>
              <w:t>Вид грунта</w:t>
            </w:r>
          </w:p>
        </w:tc>
        <w:tc>
          <w:tcPr>
            <w:tcW w:w="2366" w:type="pct"/>
          </w:tcPr>
          <w:p w:rsidR="00AF0E59" w:rsidRDefault="00AF0E59" w:rsidP="005B2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C38" w:rsidRPr="00D1688E" w:rsidRDefault="005B2C38" w:rsidP="005B2C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Почвенный покров составляют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зерно-подзолистые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нормального увлажнения почвы.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Легко </w:t>
            </w:r>
            <w:proofErr w:type="gramStart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суглинистые</w:t>
            </w:r>
            <w:proofErr w:type="gramEnd"/>
            <w:r w:rsidRPr="00D16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могучих листовидных отложениях.</w:t>
            </w:r>
          </w:p>
          <w:p w:rsidR="005B2C38" w:rsidRDefault="005B2C38" w:rsidP="00E13C75">
            <w:pPr>
              <w:spacing w:after="0"/>
            </w:pP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337AB3" w:rsidRPr="00D1688E" w:rsidRDefault="001002F6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</w:tcPr>
          <w:p w:rsidR="00337AB3" w:rsidRPr="00D1688E" w:rsidRDefault="00337AB3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данных нет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rPr>
          <w:trHeight w:val="336"/>
        </w:trPr>
        <w:tc>
          <w:tcPr>
            <w:tcW w:w="2634" w:type="pct"/>
          </w:tcPr>
          <w:p w:rsidR="00337AB3" w:rsidRDefault="00337AB3" w:rsidP="00964FFE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337AB3" w:rsidRDefault="00337AB3" w:rsidP="00964FFE"/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shd w:val="clear" w:color="auto" w:fill="FFFFFF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</w:tcPr>
          <w:p w:rsidR="00337AB3" w:rsidRPr="00D1688E" w:rsidRDefault="001002F6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 w:rsidR="00D1688E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961C3" w:rsidRPr="00AF0E59" w:rsidRDefault="003961C3" w:rsidP="00964FFE">
            <w:pPr>
              <w:rPr>
                <w:rFonts w:ascii="Times New Roman" w:hAnsi="Times New Roman" w:cs="Times New Roman"/>
              </w:rPr>
            </w:pPr>
            <w:r w:rsidRPr="00AF0E5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961C3" w:rsidRPr="00AF0E59" w:rsidRDefault="003961C3" w:rsidP="00964FFE">
            <w:pPr>
              <w:rPr>
                <w:rFonts w:ascii="Times New Roman" w:hAnsi="Times New Roman" w:cs="Times New Roman"/>
              </w:rPr>
            </w:pPr>
            <w:r w:rsidRPr="00AF0E5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Сельскохозяйственного использования.</w:t>
            </w:r>
          </w:p>
        </w:tc>
      </w:tr>
      <w:tr w:rsidR="00337AB3" w:rsidTr="00964FFE">
        <w:tc>
          <w:tcPr>
            <w:tcW w:w="2634" w:type="pct"/>
          </w:tcPr>
          <w:p w:rsidR="00337AB3" w:rsidRDefault="00337AB3" w:rsidP="00964FF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961C3" w:rsidRPr="00D1688E" w:rsidRDefault="00D1688E" w:rsidP="00D1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хозяйство.</w:t>
            </w:r>
          </w:p>
        </w:tc>
      </w:tr>
    </w:tbl>
    <w:p w:rsidR="00AF0E59" w:rsidRDefault="00AF0E59" w:rsidP="00337AB3">
      <w:pPr>
        <w:rPr>
          <w:b/>
          <w:bCs/>
        </w:rPr>
      </w:pPr>
    </w:p>
    <w:p w:rsidR="00337AB3" w:rsidRPr="00D1688E" w:rsidRDefault="00337AB3" w:rsidP="00337AB3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337AB3" w:rsidTr="00964FFE">
        <w:tc>
          <w:tcPr>
            <w:tcW w:w="2679" w:type="pct"/>
          </w:tcPr>
          <w:p w:rsidR="00337AB3" w:rsidRDefault="00337AB3" w:rsidP="00964FFE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890400" w:rsidRPr="00890400" w:rsidRDefault="00890400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AB3" w:rsidTr="00964FFE">
        <w:tc>
          <w:tcPr>
            <w:tcW w:w="2679" w:type="pct"/>
          </w:tcPr>
          <w:p w:rsidR="00337AB3" w:rsidRDefault="00337AB3" w:rsidP="00964FFE">
            <w:pPr>
              <w:rPr>
                <w:spacing w:val="-2"/>
              </w:rPr>
            </w:pPr>
            <w: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6A7B17" w:rsidRPr="00D1688E" w:rsidRDefault="006A7B17" w:rsidP="006A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расстояние до </w:t>
            </w:r>
            <w:proofErr w:type="gramStart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. Москвы: 440 км;</w:t>
            </w:r>
          </w:p>
          <w:p w:rsidR="00337AB3" w:rsidRPr="00890400" w:rsidRDefault="00D1688E" w:rsidP="00890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r w:rsidR="006A7B17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до </w:t>
            </w:r>
            <w:proofErr w:type="gramStart"/>
            <w:r w:rsidR="00337AB3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proofErr w:type="gramEnd"/>
            <w:r w:rsidR="00337AB3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Смоленск</w:t>
            </w:r>
            <w:r w:rsidR="006A7B17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а: </w:t>
            </w:r>
            <w:r w:rsidR="00337AB3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90400" w:rsidRPr="00D168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35км.</w:t>
            </w:r>
          </w:p>
        </w:tc>
      </w:tr>
      <w:tr w:rsidR="00337AB3" w:rsidTr="00964FFE">
        <w:tc>
          <w:tcPr>
            <w:tcW w:w="2679" w:type="pct"/>
          </w:tcPr>
          <w:p w:rsidR="00337AB3" w:rsidRDefault="00337AB3" w:rsidP="00964FFE"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337AB3" w:rsidRDefault="00337AB3" w:rsidP="00964FFE"/>
        </w:tc>
      </w:tr>
      <w:tr w:rsidR="00337AB3" w:rsidTr="00964FFE">
        <w:tc>
          <w:tcPr>
            <w:tcW w:w="2679" w:type="pct"/>
          </w:tcPr>
          <w:p w:rsidR="00337AB3" w:rsidRDefault="00337AB3" w:rsidP="00964FFE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337AB3" w:rsidRPr="00BA1270" w:rsidRDefault="00DA63B3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Монастырщина: </w:t>
            </w:r>
            <w:r w:rsidRPr="00BA1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 км</w:t>
            </w:r>
          </w:p>
        </w:tc>
      </w:tr>
      <w:tr w:rsidR="00337AB3" w:rsidTr="00964FFE">
        <w:tc>
          <w:tcPr>
            <w:tcW w:w="2679" w:type="pct"/>
          </w:tcPr>
          <w:p w:rsidR="00337AB3" w:rsidRDefault="00337AB3" w:rsidP="00964FFE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337AB3" w:rsidRPr="00E13C75" w:rsidRDefault="00E13C75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3C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Логи</w:t>
            </w:r>
            <w:r w:rsidR="009F2C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  0км</w:t>
            </w:r>
          </w:p>
        </w:tc>
      </w:tr>
      <w:tr w:rsidR="00337AB3" w:rsidTr="00964FFE">
        <w:tc>
          <w:tcPr>
            <w:tcW w:w="2679" w:type="pct"/>
          </w:tcPr>
          <w:p w:rsidR="00337AB3" w:rsidRDefault="00337AB3" w:rsidP="00964FFE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890400" w:rsidRPr="00890400" w:rsidRDefault="00890400" w:rsidP="009F2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0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автодороги</w:t>
            </w:r>
            <w:r w:rsidRPr="0089040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2C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А141 Орёл — Витебск:  20 км</w:t>
            </w:r>
          </w:p>
        </w:tc>
      </w:tr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964FFE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890400" w:rsidRDefault="009F2CF2" w:rsidP="00964FFE"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г. Смоленск: </w:t>
            </w:r>
            <w:r w:rsidR="00890400" w:rsidRPr="0089040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35км.</w:t>
            </w:r>
          </w:p>
        </w:tc>
      </w:tr>
    </w:tbl>
    <w:p w:rsidR="00337AB3" w:rsidRDefault="00337AB3" w:rsidP="00337AB3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964FFE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337AB3" w:rsidRDefault="00337AB3" w:rsidP="00964FFE"/>
        </w:tc>
      </w:tr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964FFE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337AB3" w:rsidRPr="003716AD" w:rsidRDefault="00671E9A" w:rsidP="00671E9A">
            <w:pPr>
              <w:rPr>
                <w:rFonts w:ascii="Times New Roman" w:hAnsi="Times New Roman" w:cs="Times New Roman"/>
                <w:b/>
              </w:rPr>
            </w:pPr>
            <w:r w:rsidRPr="003716AD">
              <w:rPr>
                <w:rFonts w:ascii="Times New Roman" w:hAnsi="Times New Roman" w:cs="Times New Roman"/>
                <w:b/>
              </w:rPr>
              <w:t>3.5км  до  асфальта.</w:t>
            </w:r>
          </w:p>
        </w:tc>
      </w:tr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964FFE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671E9A">
            <w:pPr>
              <w:spacing w:after="0"/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337AB3" w:rsidRDefault="00337AB3" w:rsidP="00671E9A">
            <w:pPr>
              <w:spacing w:after="0"/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337AB3" w:rsidRDefault="00337AB3" w:rsidP="00964FFE"/>
        </w:tc>
      </w:tr>
      <w:tr w:rsidR="00337AB3" w:rsidTr="00964FFE">
        <w:trPr>
          <w:trHeight w:val="178"/>
        </w:trPr>
        <w:tc>
          <w:tcPr>
            <w:tcW w:w="2679" w:type="pct"/>
          </w:tcPr>
          <w:p w:rsidR="00337AB3" w:rsidRDefault="00337AB3" w:rsidP="00964FFE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337AB3" w:rsidRDefault="00337AB3" w:rsidP="00964FFE"/>
        </w:tc>
      </w:tr>
    </w:tbl>
    <w:p w:rsidR="00337AB3" w:rsidRDefault="00337AB3" w:rsidP="00337AB3">
      <w:pPr>
        <w:spacing w:before="240" w:after="240"/>
        <w:rPr>
          <w:b/>
          <w:bCs/>
          <w:spacing w:val="-2"/>
        </w:rPr>
      </w:pPr>
    </w:p>
    <w:p w:rsidR="00337AB3" w:rsidRDefault="00337AB3" w:rsidP="00337AB3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68"/>
        <w:gridCol w:w="1771"/>
        <w:gridCol w:w="1767"/>
        <w:gridCol w:w="1461"/>
        <w:gridCol w:w="2079"/>
        <w:gridCol w:w="1767"/>
        <w:gridCol w:w="1770"/>
        <w:gridCol w:w="1767"/>
        <w:gridCol w:w="1770"/>
      </w:tblGrid>
      <w:tr w:rsidR="00337AB3" w:rsidTr="00964FFE">
        <w:trPr>
          <w:cantSplit/>
          <w:trHeight w:val="284"/>
        </w:trPr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lastRenderedPageBreak/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</w:tcPr>
          <w:p w:rsidR="00337AB3" w:rsidRDefault="00337AB3" w:rsidP="00964FFE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337AB3" w:rsidTr="00964FFE">
        <w:trPr>
          <w:cantSplit/>
          <w:trHeight w:val="284"/>
        </w:trPr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337AB3" w:rsidRDefault="00337AB3" w:rsidP="00964FFE"/>
        </w:tc>
        <w:tc>
          <w:tcPr>
            <w:tcW w:w="555" w:type="pct"/>
          </w:tcPr>
          <w:p w:rsidR="00337AB3" w:rsidRDefault="00337AB3" w:rsidP="00964FFE"/>
        </w:tc>
        <w:tc>
          <w:tcPr>
            <w:tcW w:w="459" w:type="pct"/>
          </w:tcPr>
          <w:p w:rsidR="00337AB3" w:rsidRDefault="00337AB3" w:rsidP="00964FFE"/>
        </w:tc>
        <w:tc>
          <w:tcPr>
            <w:tcW w:w="653" w:type="pct"/>
          </w:tcPr>
          <w:p w:rsidR="00337AB3" w:rsidRDefault="00337AB3" w:rsidP="00964FFE"/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</w:tr>
      <w:tr w:rsidR="00337AB3" w:rsidTr="00964FFE">
        <w:trPr>
          <w:cantSplit/>
          <w:trHeight w:val="284"/>
        </w:trPr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337AB3" w:rsidRDefault="00337AB3" w:rsidP="00964FFE"/>
        </w:tc>
        <w:tc>
          <w:tcPr>
            <w:tcW w:w="555" w:type="pct"/>
          </w:tcPr>
          <w:p w:rsidR="00337AB3" w:rsidRDefault="00337AB3" w:rsidP="00964FFE"/>
        </w:tc>
        <w:tc>
          <w:tcPr>
            <w:tcW w:w="459" w:type="pct"/>
          </w:tcPr>
          <w:p w:rsidR="00337AB3" w:rsidRDefault="00337AB3" w:rsidP="00964FFE"/>
        </w:tc>
        <w:tc>
          <w:tcPr>
            <w:tcW w:w="653" w:type="pct"/>
          </w:tcPr>
          <w:p w:rsidR="00337AB3" w:rsidRDefault="00337AB3" w:rsidP="00964FFE"/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</w:tr>
      <w:tr w:rsidR="00337AB3" w:rsidTr="00964FFE">
        <w:trPr>
          <w:cantSplit/>
          <w:trHeight w:val="284"/>
        </w:trPr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337AB3" w:rsidRDefault="00337AB3" w:rsidP="00964FFE"/>
        </w:tc>
        <w:tc>
          <w:tcPr>
            <w:tcW w:w="555" w:type="pct"/>
          </w:tcPr>
          <w:p w:rsidR="00337AB3" w:rsidRDefault="00337AB3" w:rsidP="00964FFE"/>
        </w:tc>
        <w:tc>
          <w:tcPr>
            <w:tcW w:w="459" w:type="pct"/>
          </w:tcPr>
          <w:p w:rsidR="00337AB3" w:rsidRDefault="00337AB3" w:rsidP="00964FFE"/>
        </w:tc>
        <w:tc>
          <w:tcPr>
            <w:tcW w:w="653" w:type="pct"/>
          </w:tcPr>
          <w:p w:rsidR="00337AB3" w:rsidRDefault="00337AB3" w:rsidP="00964FFE"/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337AB3" w:rsidRDefault="00337AB3" w:rsidP="00964FFE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337AB3" w:rsidRDefault="00337AB3" w:rsidP="00964FFE">
            <w:pPr>
              <w:shd w:val="clear" w:color="auto" w:fill="FFFFFF"/>
              <w:ind w:left="269"/>
              <w:jc w:val="center"/>
            </w:pPr>
          </w:p>
        </w:tc>
      </w:tr>
    </w:tbl>
    <w:p w:rsidR="00337AB3" w:rsidRDefault="00337AB3" w:rsidP="00337AB3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337AB3" w:rsidTr="00964FFE">
        <w:tc>
          <w:tcPr>
            <w:tcW w:w="2586" w:type="pct"/>
          </w:tcPr>
          <w:p w:rsidR="00337AB3" w:rsidRDefault="00337AB3" w:rsidP="00964FFE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337AB3" w:rsidRDefault="00337AB3" w:rsidP="00964FFE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337AB3" w:rsidTr="00964FFE">
        <w:tc>
          <w:tcPr>
            <w:tcW w:w="2586" w:type="pct"/>
          </w:tcPr>
          <w:p w:rsidR="00337AB3" w:rsidRDefault="00337AB3" w:rsidP="00964FFE">
            <w:pPr>
              <w:shd w:val="clear" w:color="auto" w:fill="FFFFFF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337AB3" w:rsidRPr="00D1688E" w:rsidRDefault="00D1688E" w:rsidP="009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37AB3"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586" w:type="pct"/>
          </w:tcPr>
          <w:p w:rsidR="00337AB3" w:rsidRDefault="00337AB3" w:rsidP="00964FFE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</w:rPr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337AB3" w:rsidRDefault="00D1688E" w:rsidP="00964F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37AB3" w:rsidTr="00964FFE">
        <w:tc>
          <w:tcPr>
            <w:tcW w:w="2586" w:type="pct"/>
          </w:tcPr>
          <w:p w:rsidR="00337AB3" w:rsidRDefault="00337AB3" w:rsidP="00964FFE">
            <w:pPr>
              <w:shd w:val="clear" w:color="auto" w:fill="FFFFFF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337AB3" w:rsidRDefault="00D1688E" w:rsidP="00964FF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1688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</w:tbl>
    <w:p w:rsidR="00337AB3" w:rsidRDefault="00337AB3" w:rsidP="00337AB3">
      <w:pPr>
        <w:spacing w:line="228" w:lineRule="auto"/>
      </w:pPr>
    </w:p>
    <w:p w:rsidR="00337AB3" w:rsidRDefault="00337AB3" w:rsidP="00337AB3">
      <w:pPr>
        <w:pStyle w:val="6"/>
      </w:pPr>
    </w:p>
    <w:p w:rsidR="00337AB3" w:rsidRDefault="00337AB3" w:rsidP="00337AB3">
      <w:pPr>
        <w:pStyle w:val="6"/>
      </w:pPr>
    </w:p>
    <w:p w:rsidR="00337AB3" w:rsidRDefault="00337AB3" w:rsidP="00337AB3">
      <w:pPr>
        <w:pStyle w:val="6"/>
      </w:pPr>
      <w:r>
        <w:t>Характеристика инженерной инфраструктуры</w:t>
      </w:r>
    </w:p>
    <w:p w:rsidR="00337AB3" w:rsidRDefault="00337AB3" w:rsidP="00337AB3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76"/>
        <w:gridCol w:w="1305"/>
        <w:gridCol w:w="4754"/>
        <w:gridCol w:w="2407"/>
        <w:gridCol w:w="1627"/>
        <w:gridCol w:w="3751"/>
      </w:tblGrid>
      <w:tr w:rsidR="00337AB3" w:rsidTr="00964FFE">
        <w:trPr>
          <w:cantSplit/>
          <w:trHeight w:val="290"/>
        </w:trPr>
        <w:tc>
          <w:tcPr>
            <w:tcW w:w="652" w:type="pct"/>
            <w:vAlign w:val="center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337AB3" w:rsidRDefault="00337AB3" w:rsidP="00964FFE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337AB3" w:rsidRDefault="00337AB3" w:rsidP="00964FFE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337AB3" w:rsidRDefault="00337AB3" w:rsidP="00964FFE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93" w:type="pct"/>
          </w:tcPr>
          <w:p w:rsidR="00337AB3" w:rsidRPr="00D1688E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Удаленность до </w:t>
            </w:r>
            <w:r w:rsidR="003716AD"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3.5км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93" w:type="pct"/>
          </w:tcPr>
          <w:p w:rsidR="00337AB3" w:rsidRPr="00D1688E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Удаленность до </w:t>
            </w:r>
            <w:r w:rsidR="00D1688E"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300м.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lastRenderedPageBreak/>
              <w:t>Водоснабжение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337AB3" w:rsidRPr="00D1688E" w:rsidRDefault="00671E9A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93" w:type="pct"/>
          </w:tcPr>
          <w:p w:rsidR="00337AB3" w:rsidRPr="00D1688E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93" w:type="pct"/>
          </w:tcPr>
          <w:p w:rsidR="00337AB3" w:rsidRPr="00D1688E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337AB3" w:rsidTr="00964FFE">
        <w:trPr>
          <w:cantSplit/>
          <w:trHeight w:val="286"/>
        </w:trPr>
        <w:tc>
          <w:tcPr>
            <w:tcW w:w="652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10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93" w:type="pct"/>
          </w:tcPr>
          <w:p w:rsidR="00337AB3" w:rsidRPr="00D1688E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168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нет</w:t>
            </w:r>
          </w:p>
        </w:tc>
        <w:tc>
          <w:tcPr>
            <w:tcW w:w="756" w:type="pct"/>
          </w:tcPr>
          <w:p w:rsidR="00337AB3" w:rsidRDefault="00337AB3" w:rsidP="00964FFE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337AB3" w:rsidRDefault="00337AB3" w:rsidP="00964FFE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337AB3" w:rsidRDefault="00337AB3" w:rsidP="00337AB3">
      <w:pPr>
        <w:spacing w:line="228" w:lineRule="auto"/>
        <w:rPr>
          <w:b/>
        </w:rPr>
      </w:pPr>
    </w:p>
    <w:p w:rsidR="00337AB3" w:rsidRDefault="00337AB3" w:rsidP="00337AB3">
      <w:pPr>
        <w:spacing w:line="228" w:lineRule="auto"/>
        <w:rPr>
          <w:b/>
        </w:rPr>
      </w:pPr>
    </w:p>
    <w:p w:rsidR="00337AB3" w:rsidRDefault="00337AB3" w:rsidP="00337AB3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337AB3" w:rsidRDefault="00337AB3" w:rsidP="00337AB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337AB3" w:rsidTr="00964FFE">
        <w:tc>
          <w:tcPr>
            <w:tcW w:w="2586" w:type="pct"/>
          </w:tcPr>
          <w:p w:rsidR="00337AB3" w:rsidRDefault="00337AB3" w:rsidP="00964FFE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337AB3" w:rsidRPr="00D1688E" w:rsidRDefault="00D1688E" w:rsidP="00371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16AD" w:rsidRPr="00D16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Герчики</w:t>
            </w:r>
            <w:r w:rsidR="003716AD"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16AD"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—  Население —28 жителей (2007 год). </w:t>
            </w:r>
          </w:p>
        </w:tc>
      </w:tr>
      <w:tr w:rsidR="00337AB3" w:rsidTr="00964FFE">
        <w:tc>
          <w:tcPr>
            <w:tcW w:w="2586" w:type="pct"/>
          </w:tcPr>
          <w:p w:rsidR="00337AB3" w:rsidRDefault="00337AB3" w:rsidP="00964FFE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337AB3" w:rsidRDefault="003716AD" w:rsidP="003716AD"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16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Монасты́рщина</w:t>
            </w:r>
            <w:proofErr w:type="gramEnd"/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="00D1688E"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Население 4066</w:t>
            </w:r>
            <w:r w:rsidRPr="00D168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68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жителей (2007 год).</w:t>
            </w:r>
          </w:p>
        </w:tc>
      </w:tr>
      <w:tr w:rsidR="00337AB3" w:rsidTr="00964FFE">
        <w:tc>
          <w:tcPr>
            <w:tcW w:w="2586" w:type="pct"/>
          </w:tcPr>
          <w:p w:rsidR="00337AB3" w:rsidRDefault="00337AB3" w:rsidP="00964FFE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337AB3" w:rsidRDefault="00337AB3" w:rsidP="00671E9A"/>
        </w:tc>
      </w:tr>
    </w:tbl>
    <w:p w:rsidR="00337AB3" w:rsidRDefault="00337AB3" w:rsidP="00337AB3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337AB3" w:rsidRDefault="00337AB3" w:rsidP="00337AB3">
      <w:pPr>
        <w:shd w:val="clear" w:color="auto" w:fill="FFFFFF"/>
        <w:ind w:left="62"/>
        <w:rPr>
          <w:b/>
          <w:bCs/>
          <w:spacing w:val="-1"/>
        </w:rPr>
      </w:pPr>
    </w:p>
    <w:p w:rsidR="00337AB3" w:rsidRDefault="00413360" w:rsidP="00337AB3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И.п. Г</w:t>
      </w:r>
      <w:r w:rsidR="00337AB3">
        <w:rPr>
          <w:b/>
          <w:bCs/>
          <w:spacing w:val="-1"/>
        </w:rPr>
        <w:t xml:space="preserve">лавы муниципального образования    _________________________                     </w:t>
      </w:r>
      <w:r>
        <w:rPr>
          <w:b/>
          <w:bCs/>
          <w:spacing w:val="-1"/>
        </w:rPr>
        <w:t>Титов В.Б.</w:t>
      </w:r>
      <w:r w:rsidR="00337AB3">
        <w:rPr>
          <w:b/>
          <w:bCs/>
          <w:spacing w:val="-1"/>
        </w:rPr>
        <w:t xml:space="preserve">  </w:t>
      </w:r>
    </w:p>
    <w:p w:rsidR="00337AB3" w:rsidRDefault="00337AB3" w:rsidP="00337AB3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«Монастырщинский район»</w:t>
      </w:r>
      <w:r w:rsidRPr="00D307D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(подпись)                     </w:t>
      </w:r>
    </w:p>
    <w:p w:rsidR="00337AB3" w:rsidRDefault="00337AB3" w:rsidP="00337AB3">
      <w:pPr>
        <w:shd w:val="clear" w:color="auto" w:fill="FFFFFF"/>
        <w:ind w:left="62"/>
        <w:rPr>
          <w:b/>
          <w:bCs/>
          <w:spacing w:val="-1"/>
        </w:rPr>
      </w:pPr>
      <w:r>
        <w:rPr>
          <w:b/>
          <w:bCs/>
          <w:spacing w:val="-1"/>
        </w:rPr>
        <w:t>Смоленской области</w:t>
      </w:r>
    </w:p>
    <w:p w:rsidR="00337AB3" w:rsidRDefault="00337AB3" w:rsidP="00337AB3">
      <w:pPr>
        <w:shd w:val="clear" w:color="auto" w:fill="FFFFFF"/>
        <w:ind w:left="6434"/>
        <w:rPr>
          <w:b/>
          <w:bCs/>
          <w:spacing w:val="-1"/>
        </w:rPr>
      </w:pPr>
      <w:r>
        <w:rPr>
          <w:b/>
          <w:bCs/>
          <w:spacing w:val="-1"/>
        </w:rPr>
        <w:t xml:space="preserve">М.п.      </w:t>
      </w:r>
    </w:p>
    <w:p w:rsidR="002A3D4B" w:rsidRDefault="002A3D4B"/>
    <w:sectPr w:rsidR="002A3D4B" w:rsidSect="007E2C61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7AB3"/>
    <w:rsid w:val="00025F89"/>
    <w:rsid w:val="001002F6"/>
    <w:rsid w:val="00262323"/>
    <w:rsid w:val="002A3D4B"/>
    <w:rsid w:val="00337AB3"/>
    <w:rsid w:val="003716AD"/>
    <w:rsid w:val="003961C3"/>
    <w:rsid w:val="00413360"/>
    <w:rsid w:val="00522922"/>
    <w:rsid w:val="005B2C38"/>
    <w:rsid w:val="005E3D7A"/>
    <w:rsid w:val="00671E9A"/>
    <w:rsid w:val="006A7B17"/>
    <w:rsid w:val="006D6687"/>
    <w:rsid w:val="00706982"/>
    <w:rsid w:val="00784F2B"/>
    <w:rsid w:val="007D263A"/>
    <w:rsid w:val="007E2C61"/>
    <w:rsid w:val="00890400"/>
    <w:rsid w:val="008A56FC"/>
    <w:rsid w:val="009F2CF2"/>
    <w:rsid w:val="00A54FF8"/>
    <w:rsid w:val="00AF0E59"/>
    <w:rsid w:val="00BA06F6"/>
    <w:rsid w:val="00BA1270"/>
    <w:rsid w:val="00C739C1"/>
    <w:rsid w:val="00C817C9"/>
    <w:rsid w:val="00D1688E"/>
    <w:rsid w:val="00D53690"/>
    <w:rsid w:val="00D84EB7"/>
    <w:rsid w:val="00DA63B3"/>
    <w:rsid w:val="00DF0F7A"/>
    <w:rsid w:val="00E13C75"/>
    <w:rsid w:val="00F2749B"/>
    <w:rsid w:val="00F4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61"/>
  </w:style>
  <w:style w:type="paragraph" w:styleId="1">
    <w:name w:val="heading 1"/>
    <w:basedOn w:val="a"/>
    <w:next w:val="a"/>
    <w:link w:val="10"/>
    <w:qFormat/>
    <w:rsid w:val="00337A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qFormat/>
    <w:rsid w:val="00337AB3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qFormat/>
    <w:rsid w:val="00337AB3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qFormat/>
    <w:rsid w:val="00337AB3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qFormat/>
    <w:rsid w:val="00337AB3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qFormat/>
    <w:rsid w:val="00337AB3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AB3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">
    <w:name w:val="Заголовок 2 Знак"/>
    <w:basedOn w:val="a0"/>
    <w:link w:val="2"/>
    <w:rsid w:val="00337AB3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37AB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337AB3"/>
    <w:rPr>
      <w:rFonts w:ascii="Times New Roman" w:eastAsia="Times New Roman" w:hAnsi="Times New Roman" w:cs="Times New Roman"/>
      <w:i/>
      <w:iCs/>
      <w:spacing w:val="-3"/>
      <w:sz w:val="24"/>
    </w:rPr>
  </w:style>
  <w:style w:type="character" w:customStyle="1" w:styleId="50">
    <w:name w:val="Заголовок 5 Знак"/>
    <w:basedOn w:val="a0"/>
    <w:link w:val="5"/>
    <w:rsid w:val="00337AB3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337AB3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apple-converted-space">
    <w:name w:val="apple-converted-space"/>
    <w:basedOn w:val="a0"/>
    <w:rsid w:val="003961C3"/>
  </w:style>
  <w:style w:type="character" w:styleId="a3">
    <w:name w:val="Hyperlink"/>
    <w:rsid w:val="001002F6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623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chenkov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BEW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777</cp:lastModifiedBy>
  <cp:revision>16</cp:revision>
  <dcterms:created xsi:type="dcterms:W3CDTF">2012-12-20T19:08:00Z</dcterms:created>
  <dcterms:modified xsi:type="dcterms:W3CDTF">2012-12-24T12:12:00Z</dcterms:modified>
</cp:coreProperties>
</file>