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9" w:rsidRDefault="001024F9" w:rsidP="001024F9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Инвестиционная площадка № 67-18-11</w:t>
      </w:r>
    </w:p>
    <w:p w:rsidR="001024F9" w:rsidRDefault="001024F9" w:rsidP="001024F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1024F9" w:rsidTr="001024F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F9" w:rsidRDefault="001024F9" w:rsidP="001024F9">
            <w:pPr>
              <w:spacing w:line="276" w:lineRule="auto"/>
            </w:pPr>
            <w:r>
              <w:t xml:space="preserve">ИП «Вторая </w:t>
            </w:r>
            <w:proofErr w:type="spellStart"/>
            <w:r>
              <w:t>Стабенская</w:t>
            </w:r>
            <w:proofErr w:type="spellEnd"/>
            <w:r>
              <w:t>»</w:t>
            </w:r>
          </w:p>
        </w:tc>
      </w:tr>
      <w:tr w:rsidR="001024F9" w:rsidTr="001024F9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F9" w:rsidRDefault="001024F9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Default="001024F9">
            <w:pPr>
              <w:spacing w:line="276" w:lineRule="auto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1024F9" w:rsidRDefault="001024F9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F9" w:rsidRDefault="001024F9" w:rsidP="001024F9">
            <w:pPr>
              <w:spacing w:line="276" w:lineRule="auto"/>
            </w:pPr>
            <w:r>
              <w:t xml:space="preserve">Смоленская область, Смоленский район, </w:t>
            </w:r>
            <w:proofErr w:type="spellStart"/>
            <w:r>
              <w:t>Стабенское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восточнее д. </w:t>
            </w:r>
            <w:proofErr w:type="spellStart"/>
            <w:r>
              <w:t>Пенеснарь</w:t>
            </w:r>
            <w:proofErr w:type="spellEnd"/>
            <w:r w:rsidR="00B32AF1">
              <w:t>, 67:18:0020201:1141</w:t>
            </w:r>
          </w:p>
        </w:tc>
      </w:tr>
      <w:tr w:rsidR="001024F9" w:rsidTr="001024F9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F9" w:rsidRDefault="001024F9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rPr>
                <w:b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Свободные земли</w:t>
            </w:r>
          </w:p>
        </w:tc>
      </w:tr>
    </w:tbl>
    <w:p w:rsidR="001024F9" w:rsidRDefault="001024F9" w:rsidP="001024F9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Собственность </w:t>
            </w:r>
            <w:proofErr w:type="gramStart"/>
            <w:r>
              <w:t>СО</w:t>
            </w:r>
            <w:proofErr w:type="gramEnd"/>
            <w:r w:rsidR="00B32AF1">
              <w:t xml:space="preserve">, </w:t>
            </w:r>
            <w:r w:rsidR="00B32AF1" w:rsidRPr="00B32AF1">
              <w:t>постоянное бессрочное пользование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 w:rsidP="00B32AF1">
            <w:pPr>
              <w:spacing w:line="276" w:lineRule="auto"/>
            </w:pPr>
            <w:r>
              <w:t>Россия,</w:t>
            </w:r>
            <w:r w:rsidR="00B32AF1">
              <w:t xml:space="preserve"> </w:t>
            </w:r>
            <w:bookmarkStart w:id="0" w:name="_GoBack"/>
            <w:bookmarkEnd w:id="0"/>
            <w:r>
              <w:t>Смоленская область, Смоленский район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24F9" w:rsidRDefault="001024F9" w:rsidP="00B32AF1">
            <w:pPr>
              <w:spacing w:line="276" w:lineRule="auto"/>
            </w:pPr>
            <w:r>
              <w:t>Отдел инвестиционных проектов (4812) 2</w:t>
            </w:r>
            <w:r w:rsidR="00B32AF1">
              <w:t>0</w:t>
            </w:r>
            <w:r>
              <w:t>-</w:t>
            </w:r>
            <w:r w:rsidR="00B32AF1">
              <w:t>55-23</w:t>
            </w:r>
          </w:p>
        </w:tc>
      </w:tr>
      <w:tr w:rsidR="001024F9" w:rsidTr="001024F9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>Покупка, выкуп с аукциона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>начальная цена земельных участков или годовой  размер арендной платы за земельные участки определяется на основании отчета независимого оценщика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b/>
              </w:rPr>
            </w:pPr>
            <w:r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Площадь земельного участка, 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B32AF1" w:rsidP="00B32AF1">
            <w:pPr>
              <w:spacing w:line="276" w:lineRule="auto"/>
            </w:pPr>
            <w:r>
              <w:t>12</w:t>
            </w:r>
            <w:r w:rsidR="001024F9">
              <w:t>,13 га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прямоугольная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Возможность расширения  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да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30" w:lineRule="auto"/>
              <w:ind w:right="-57"/>
            </w:pPr>
            <w:proofErr w:type="gramStart"/>
            <w: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Земли сельскохозяйственного назначения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3"/>
              </w:rPr>
            </w:pPr>
            <w:proofErr w:type="gramStart"/>
            <w:r>
              <w:rPr>
                <w:spacing w:val="-2"/>
              </w:rPr>
              <w:t>Функциональная зона (</w:t>
            </w:r>
            <w: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нет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нет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нет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Горизонтальная поверхность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b/>
                <w:spacing w:val="-2"/>
              </w:rPr>
            </w:pPr>
            <w:r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300 м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нет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b/>
              </w:rPr>
            </w:pPr>
            <w:r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Не использовалась</w:t>
            </w:r>
          </w:p>
        </w:tc>
      </w:tr>
    </w:tbl>
    <w:p w:rsidR="001024F9" w:rsidRDefault="001024F9" w:rsidP="001024F9">
      <w:pPr>
        <w:rPr>
          <w:b/>
          <w:bCs/>
        </w:rPr>
      </w:pPr>
    </w:p>
    <w:p w:rsidR="001024F9" w:rsidRDefault="001024F9" w:rsidP="001024F9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p w:rsidR="001024F9" w:rsidRDefault="001024F9" w:rsidP="001024F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spacing w:val="-2"/>
              </w:rPr>
              <w:t xml:space="preserve">г. Смоленск   -   10 км </w:t>
            </w:r>
          </w:p>
        </w:tc>
      </w:tr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г. Москва-420 км</w:t>
            </w:r>
          </w:p>
        </w:tc>
      </w:tr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 w:rsidP="00D13FBF">
            <w:pPr>
              <w:spacing w:line="276" w:lineRule="auto"/>
            </w:pPr>
            <w:r>
              <w:t xml:space="preserve">д. </w:t>
            </w:r>
            <w:proofErr w:type="spellStart"/>
            <w:r w:rsidR="00D13FBF">
              <w:t>Пенеснарь</w:t>
            </w:r>
            <w:proofErr w:type="spellEnd"/>
            <w:r w:rsidR="00D13FBF">
              <w:t xml:space="preserve"> – 3</w:t>
            </w:r>
            <w:r>
              <w:t>00 м</w:t>
            </w:r>
          </w:p>
        </w:tc>
      </w:tr>
      <w:tr w:rsidR="001024F9" w:rsidTr="001024F9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 w:rsidP="00D13FBF">
            <w:pPr>
              <w:spacing w:line="276" w:lineRule="auto"/>
            </w:pPr>
            <w:r>
              <w:t xml:space="preserve">автодорога </w:t>
            </w:r>
            <w:r w:rsidR="00D13FBF">
              <w:t>М</w:t>
            </w:r>
            <w:proofErr w:type="gramStart"/>
            <w:r w:rsidR="00D13FBF">
              <w:t>1</w:t>
            </w:r>
            <w:proofErr w:type="gramEnd"/>
          </w:p>
        </w:tc>
      </w:tr>
      <w:tr w:rsidR="001024F9" w:rsidTr="001024F9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</w:tbl>
    <w:p w:rsidR="001024F9" w:rsidRDefault="001024F9" w:rsidP="001024F9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1024F9" w:rsidTr="001024F9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>автодорога с грунтовым покрытием проходит по границе участка</w:t>
            </w:r>
          </w:p>
        </w:tc>
      </w:tr>
      <w:tr w:rsidR="001024F9" w:rsidTr="00076B41">
        <w:trPr>
          <w:trHeight w:val="354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</w:tr>
      <w:tr w:rsidR="001024F9" w:rsidTr="001024F9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1024F9" w:rsidRDefault="001024F9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</w:tbl>
    <w:p w:rsidR="001024F9" w:rsidRDefault="001024F9" w:rsidP="001024F9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66"/>
        <w:gridCol w:w="1563"/>
        <w:gridCol w:w="1365"/>
        <w:gridCol w:w="1853"/>
        <w:gridCol w:w="1801"/>
        <w:gridCol w:w="1566"/>
        <w:gridCol w:w="1564"/>
        <w:gridCol w:w="1722"/>
      </w:tblGrid>
      <w:tr w:rsidR="001024F9" w:rsidTr="001024F9">
        <w:trPr>
          <w:cantSplit/>
          <w:trHeight w:val="28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lastRenderedPageBreak/>
              <w:t>Наименование здания, сооружения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1024F9" w:rsidTr="001024F9">
        <w:trPr>
          <w:cantSplit/>
          <w:trHeight w:val="17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4F9" w:rsidRDefault="001024F9">
            <w:pPr>
              <w:shd w:val="clear" w:color="auto" w:fill="FFFFFF"/>
              <w:spacing w:line="276" w:lineRule="auto"/>
            </w:pPr>
          </w:p>
          <w:p w:rsidR="001024F9" w:rsidRDefault="001024F9">
            <w:pPr>
              <w:shd w:val="clear" w:color="auto" w:fill="FFFFFF"/>
              <w:spacing w:line="276" w:lineRule="auto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pacing w:line="276" w:lineRule="auto"/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4F9" w:rsidRDefault="001024F9">
            <w:pPr>
              <w:shd w:val="clear" w:color="auto" w:fill="FFFFFF"/>
              <w:spacing w:line="276" w:lineRule="auto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4F9" w:rsidRDefault="001024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4F9" w:rsidRDefault="001024F9">
            <w:pPr>
              <w:shd w:val="clear" w:color="auto" w:fill="FFFFFF"/>
              <w:spacing w:line="276" w:lineRule="auto"/>
              <w:ind w:left="269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76" w:lineRule="auto"/>
            </w:pPr>
          </w:p>
        </w:tc>
      </w:tr>
    </w:tbl>
    <w:p w:rsidR="001024F9" w:rsidRDefault="001024F9" w:rsidP="001024F9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 w:rsidP="00076B41">
            <w:pPr>
              <w:spacing w:line="276" w:lineRule="auto"/>
              <w:jc w:val="both"/>
            </w:pPr>
            <w:r>
              <w:t xml:space="preserve">автодорога </w:t>
            </w:r>
            <w:r w:rsidR="00076B41">
              <w:t>М</w:t>
            </w:r>
            <w:proofErr w:type="gramStart"/>
            <w:r w:rsidR="00076B41">
              <w:t>1</w:t>
            </w:r>
            <w:proofErr w:type="gramEnd"/>
            <w:r w:rsidR="00076B41">
              <w:t xml:space="preserve"> проходит в непосредственной близости от</w:t>
            </w:r>
            <w:r>
              <w:t xml:space="preserve"> площадк</w:t>
            </w:r>
            <w:r w:rsidR="00076B41">
              <w:t>и</w:t>
            </w:r>
          </w:p>
        </w:tc>
      </w:tr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</w:tbl>
    <w:p w:rsidR="001024F9" w:rsidRDefault="001024F9" w:rsidP="001024F9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инженерной инфраструктуры</w:t>
      </w:r>
    </w:p>
    <w:tbl>
      <w:tblPr>
        <w:tblW w:w="5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46"/>
        <w:gridCol w:w="1341"/>
        <w:gridCol w:w="4079"/>
        <w:gridCol w:w="2372"/>
        <w:gridCol w:w="2054"/>
        <w:gridCol w:w="2927"/>
      </w:tblGrid>
      <w:tr w:rsidR="001024F9" w:rsidTr="001024F9">
        <w:trPr>
          <w:cantSplit/>
          <w:trHeight w:val="29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4F9" w:rsidRDefault="001024F9">
            <w:pPr>
              <w:pStyle w:val="5"/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1024F9" w:rsidRDefault="00102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4F9" w:rsidRDefault="001024F9">
            <w:pPr>
              <w:pStyle w:val="3"/>
              <w:spacing w:line="228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1024F9" w:rsidTr="001024F9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076B41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Имеется возможность подключения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1024F9" w:rsidTr="001024F9">
        <w:trPr>
          <w:cantSplit/>
          <w:trHeight w:val="30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1024F9" w:rsidTr="001024F9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t>Водоснабжение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1024F9" w:rsidTr="001024F9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1024F9" w:rsidTr="001024F9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1024F9" w:rsidTr="001024F9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F9" w:rsidRDefault="001024F9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1024F9" w:rsidRDefault="001024F9" w:rsidP="001024F9">
      <w:pPr>
        <w:spacing w:line="228" w:lineRule="auto"/>
        <w:rPr>
          <w:b/>
        </w:rPr>
      </w:pPr>
    </w:p>
    <w:p w:rsidR="001024F9" w:rsidRDefault="001024F9" w:rsidP="001024F9">
      <w:pPr>
        <w:spacing w:line="228" w:lineRule="auto"/>
        <w:rPr>
          <w:b/>
        </w:rPr>
      </w:pPr>
    </w:p>
    <w:p w:rsidR="001024F9" w:rsidRDefault="001024F9" w:rsidP="001024F9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1024F9" w:rsidRDefault="001024F9" w:rsidP="001024F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hd w:val="clear" w:color="auto" w:fill="FFFFFF"/>
              <w:spacing w:line="276" w:lineRule="auto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г. Смоленск – 207,7 тыс. чел.</w:t>
            </w:r>
          </w:p>
        </w:tc>
      </w:tr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  <w:tr w:rsidR="001024F9" w:rsidTr="001024F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4F9" w:rsidRDefault="001024F9">
            <w:pPr>
              <w:spacing w:line="276" w:lineRule="auto"/>
            </w:pPr>
            <w:r>
              <w:t>-</w:t>
            </w:r>
          </w:p>
        </w:tc>
      </w:tr>
    </w:tbl>
    <w:p w:rsidR="001024F9" w:rsidRDefault="001024F9" w:rsidP="001024F9">
      <w:pPr>
        <w:tabs>
          <w:tab w:val="left" w:pos="1739"/>
        </w:tabs>
      </w:pPr>
      <w:r>
        <w:tab/>
      </w:r>
    </w:p>
    <w:p w:rsidR="001024F9" w:rsidRDefault="001024F9" w:rsidP="001024F9">
      <w:pPr>
        <w:ind w:firstLine="709"/>
        <w:jc w:val="both"/>
        <w:rPr>
          <w:sz w:val="28"/>
          <w:szCs w:val="28"/>
        </w:rPr>
      </w:pP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1024F9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F9"/>
    <w:rsid w:val="00001336"/>
    <w:rsid w:val="00014D2F"/>
    <w:rsid w:val="00076B41"/>
    <w:rsid w:val="001024F9"/>
    <w:rsid w:val="00B03698"/>
    <w:rsid w:val="00B32AF1"/>
    <w:rsid w:val="00C3284A"/>
    <w:rsid w:val="00D13FBF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4F9"/>
    <w:pPr>
      <w:keepNext/>
      <w:ind w:firstLine="709"/>
      <w:jc w:val="both"/>
      <w:outlineLvl w:val="0"/>
    </w:pPr>
    <w:rPr>
      <w:rFonts w:ascii="Arial" w:hAnsi="Arial" w:cs="Arial"/>
      <w:b/>
      <w:bCs/>
      <w:color w:val="00CC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24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024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4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4F9"/>
    <w:rPr>
      <w:rFonts w:ascii="Arial" w:eastAsia="Times New Roman" w:hAnsi="Arial" w:cs="Arial"/>
      <w:b/>
      <w:bCs/>
      <w:color w:val="00CC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4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4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24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24F9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RePack by Diakov</cp:lastModifiedBy>
  <cp:revision>4</cp:revision>
  <dcterms:created xsi:type="dcterms:W3CDTF">2013-07-29T11:21:00Z</dcterms:created>
  <dcterms:modified xsi:type="dcterms:W3CDTF">2016-08-29T20:34:00Z</dcterms:modified>
</cp:coreProperties>
</file>