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9" w:rsidRDefault="009C1799" w:rsidP="00DE34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Инвестиционная площадка «Рудня»</w:t>
      </w:r>
    </w:p>
    <w:p w:rsidR="009C1799" w:rsidRDefault="009C1799" w:rsidP="00DE3459">
      <w:pPr>
        <w:spacing w:after="0" w:line="240" w:lineRule="auto"/>
        <w:jc w:val="center"/>
        <w:rPr>
          <w:b/>
          <w:sz w:val="36"/>
          <w:szCs w:val="36"/>
        </w:rPr>
      </w:pPr>
    </w:p>
    <w:p w:rsidR="009C1799" w:rsidRDefault="00DE3459" w:rsidP="00DE3459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577.5pt;margin-top:118pt;width:0;height:184.5pt;z-index:251648000" o:connectortype="straight" strokecolor="#0cf"/>
        </w:pict>
      </w:r>
      <w:r>
        <w:rPr>
          <w:sz w:val="24"/>
          <w:szCs w:val="24"/>
        </w:rPr>
        <w:pict>
          <v:shape id="_x0000_s1044" type="#_x0000_t32" style="position:absolute;margin-left:575.25pt;margin-top:118pt;width:0;height:184.5pt;z-index:251649024" o:connectortype="straight" strokecolor="#0cf"/>
        </w:pict>
      </w:r>
      <w:r>
        <w:rPr>
          <w:sz w:val="24"/>
          <w:szCs w:val="24"/>
        </w:rPr>
        <w:pict>
          <v:shape id="_x0000_s1043" type="#_x0000_t32" style="position:absolute;margin-left:575.25pt;margin-top:118pt;width:2.25pt;height:184.5pt;flip:x;z-index:251650048" o:connectortype="straight" strokecolor="white" strokeweight="4pt"/>
        </w:pict>
      </w:r>
      <w:r>
        <w:rPr>
          <w:sz w:val="24"/>
          <w:szCs w:val="24"/>
        </w:rPr>
        <w:pict>
          <v:shape id="_x0000_s1042" type="#_x0000_t32" style="position:absolute;margin-left:183.6pt;margin-top:149.5pt;width:75pt;height:123pt;flip:x;z-index:251651072" o:connectortype="straight" strokecolor="#0cf" strokeweight="2pt">
            <v:stroke dashstyle="dash"/>
          </v:shape>
        </w:pict>
      </w:r>
      <w:r>
        <w:rPr>
          <w:sz w:val="24"/>
          <w:szCs w:val="24"/>
        </w:rPr>
        <w:pict>
          <v:shape id="_x0000_s1041" type="#_x0000_t32" style="position:absolute;margin-left:183.6pt;margin-top:149.5pt;width:75pt;height:126.75pt;flip:x;z-index:251652096" o:connectortype="straight" strokecolor="white" strokeweight="5pt"/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6.85pt;margin-top:124.75pt;width:25.5pt;height:24.75pt;z-index:251653120" filled="f" stroked="f">
            <v:textbox>
              <w:txbxContent>
                <w:p w:rsidR="009C1799" w:rsidRDefault="009C1799" w:rsidP="009C1799">
                  <w:pPr>
                    <w:rPr>
                      <w:b/>
                      <w:color w:val="9966FF"/>
                      <w:sz w:val="28"/>
                      <w:szCs w:val="28"/>
                    </w:rPr>
                  </w:pPr>
                  <w:r>
                    <w:rPr>
                      <w:b/>
                      <w:color w:val="9966F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32" style="position:absolute;margin-left:252.6pt;margin-top:138.25pt;width:444pt;height:227.25pt;z-index:251654144" o:connectortype="straight" strokecolor="#96f" strokeweight="2pt"/>
        </w:pict>
      </w:r>
      <w:r>
        <w:rPr>
          <w:sz w:val="24"/>
          <w:szCs w:val="24"/>
        </w:rPr>
        <w:pict>
          <v:shape id="_x0000_s1032" type="#_x0000_t32" style="position:absolute;margin-left:278pt;margin-top:134.5pt;width:191.35pt;height:98.25pt;z-index:251655168" o:connectortype="straight" strokecolor="#96f" strokeweight="2pt"/>
        </w:pict>
      </w:r>
      <w:r>
        <w:rPr>
          <w:sz w:val="24"/>
          <w:szCs w:val="24"/>
        </w:rPr>
        <w:pict>
          <v:shape id="_x0000_s1040" type="#_x0000_t202" style="position:absolute;margin-left:367.35pt;margin-top:36.25pt;width:25.5pt;height:24.75pt;z-index:251656192" filled="f" stroked="f">
            <v:textbox>
              <w:txbxContent>
                <w:p w:rsidR="009C1799" w:rsidRDefault="009C1799" w:rsidP="009C1799">
                  <w:pPr>
                    <w:rPr>
                      <w:b/>
                      <w:color w:val="9966FF"/>
                      <w:sz w:val="28"/>
                      <w:szCs w:val="28"/>
                    </w:rPr>
                  </w:pPr>
                  <w:r>
                    <w:rPr>
                      <w:b/>
                      <w:color w:val="9966FF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32" style="position:absolute;margin-left:359.1pt;margin-top:52pt;width:23.25pt;height:4.5pt;z-index:251657216" o:connectortype="straight" strokecolor="#96f" strokeweight="2pt"/>
        </w:pict>
      </w:r>
      <w:r>
        <w:rPr>
          <w:sz w:val="24"/>
          <w:szCs w:val="24"/>
        </w:rPr>
        <w:pict>
          <v:shape id="_x0000_s1039" type="#_x0000_t32" style="position:absolute;margin-left:287.85pt;margin-top:105.25pt;width:33.75pt;height:58.6pt;flip:x y;z-index:251658240" o:connectortype="straight" strokecolor="#96f" strokeweight="2pt"/>
        </w:pict>
      </w:r>
      <w:r>
        <w:rPr>
          <w:sz w:val="24"/>
          <w:szCs w:val="24"/>
        </w:rPr>
        <w:pict>
          <v:shape id="_x0000_s1038" type="#_x0000_t32" style="position:absolute;margin-left:287.85pt;margin-top:52.05pt;width:48pt;height:53.2pt;flip:y;z-index:251659264" o:connectortype="straight" strokecolor="#96f" strokeweight="2pt"/>
        </w:pict>
      </w:r>
      <w:r>
        <w:rPr>
          <w:sz w:val="24"/>
          <w:szCs w:val="24"/>
        </w:rPr>
        <w:pict>
          <v:shape id="_x0000_s1037" type="#_x0000_t32" style="position:absolute;margin-left:335.85pt;margin-top:52pt;width:27pt;height:0;z-index:251660288" o:connectortype="straight" strokecolor="#96f" strokeweight="2pt"/>
        </w:pict>
      </w:r>
      <w:r>
        <w:rPr>
          <w:sz w:val="24"/>
          <w:szCs w:val="24"/>
        </w:rPr>
        <w:pict>
          <v:shape id="_x0000_s1035" type="#_x0000_t32" style="position:absolute;margin-left:321.6pt;margin-top:149.5pt;width:71.25pt;height:14.35pt;flip:x;z-index:251661312" o:connectortype="straight" strokecolor="#96f" strokeweight="2pt"/>
        </w:pict>
      </w:r>
      <w:r>
        <w:rPr>
          <w:sz w:val="24"/>
          <w:szCs w:val="24"/>
        </w:rPr>
        <w:pict>
          <v:shape id="_x0000_s1034" type="#_x0000_t32" style="position:absolute;margin-left:382.35pt;margin-top:56.5pt;width:10.5pt;height:93pt;z-index:251662336" o:connectortype="straight" strokecolor="#96f" strokeweight="2pt"/>
        </w:pict>
      </w:r>
      <w:r>
        <w:rPr>
          <w:sz w:val="24"/>
          <w:szCs w:val="24"/>
        </w:rPr>
        <w:pict>
          <v:shape id="_x0000_s1033" type="#_x0000_t202" style="position:absolute;margin-left:266.85pt;margin-top:113.5pt;width:25.5pt;height:24.75pt;z-index:251663360" filled="f" stroked="f">
            <v:textbox>
              <w:txbxContent>
                <w:p w:rsidR="009C1799" w:rsidRDefault="009C1799" w:rsidP="009C1799">
                  <w:pPr>
                    <w:rPr>
                      <w:b/>
                      <w:color w:val="9966FF"/>
                      <w:sz w:val="28"/>
                      <w:szCs w:val="28"/>
                    </w:rPr>
                  </w:pPr>
                  <w:r>
                    <w:rPr>
                      <w:b/>
                      <w:color w:val="9966F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32" style="position:absolute;margin-left:326.1pt;margin-top:163.85pt;width:435pt;height:225.75pt;z-index:251664384" o:connectortype="straight" strokecolor="#e36c0a" strokeweight="1.25pt"/>
        </w:pict>
      </w:r>
      <w:r>
        <w:rPr>
          <w:sz w:val="24"/>
          <w:szCs w:val="24"/>
        </w:rPr>
        <w:pict>
          <v:shape id="_x0000_s1027" type="#_x0000_t32" style="position:absolute;margin-left:298.15pt;margin-top:325.15pt;width:7.5pt;height:5.25pt;flip:x y;z-index:251665408" o:connectortype="straight" strokecolor="#93f" strokeweight="2.5pt">
            <v:stroke dashstyle="1 1" endcap="round"/>
          </v:shape>
        </w:pict>
      </w:r>
      <w:r w:rsidR="009C1799">
        <w:rPr>
          <w:noProof/>
          <w:sz w:val="28"/>
          <w:szCs w:val="28"/>
        </w:rPr>
        <w:drawing>
          <wp:inline distT="0" distB="0" distL="0" distR="0">
            <wp:extent cx="9705975" cy="5334000"/>
            <wp:effectExtent l="19050" t="19050" r="28575" b="19050"/>
            <wp:docPr id="1" name="Рисунок 1" descr="руд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д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421" b="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334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799" w:rsidRDefault="009C1799" w:rsidP="00DE3459">
      <w:pPr>
        <w:spacing w:after="0" w:line="240" w:lineRule="auto"/>
        <w:rPr>
          <w:sz w:val="28"/>
          <w:szCs w:val="28"/>
        </w:rPr>
      </w:pPr>
    </w:p>
    <w:p w:rsidR="009C1799" w:rsidRDefault="00DE3459" w:rsidP="00DE34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6" type="#_x0000_t32" style="position:absolute;margin-left:278pt;margin-top:146.4pt;width:30.1pt;height:56.25pt;z-index:251666432" o:connectortype="straight" strokecolor="#93f" strokeweight="2.5pt">
            <v:stroke dashstyle="1 1" endcap="round"/>
          </v:shape>
        </w:pict>
      </w:r>
      <w:r>
        <w:rPr>
          <w:sz w:val="24"/>
          <w:szCs w:val="24"/>
        </w:rPr>
        <w:pict>
          <v:shape id="_x0000_s1028" type="#_x0000_t32" style="position:absolute;margin-left:311.85pt;margin-top:192.15pt;width:66.75pt;height:10.5pt;flip:y;z-index:251667456" o:connectortype="straight" strokecolor="#93f" strokeweight="2.5pt">
            <v:stroke dashstyle="1 1" endcap="round"/>
          </v:shape>
        </w:pict>
      </w:r>
    </w:p>
    <w:p w:rsidR="009C1799" w:rsidRDefault="009C1799" w:rsidP="00DE3459">
      <w:pPr>
        <w:spacing w:after="0" w:line="240" w:lineRule="auto"/>
        <w:sectPr w:rsidR="009C1799">
          <w:pgSz w:w="16838" w:h="11906" w:orient="landscape"/>
          <w:pgMar w:top="568" w:right="536" w:bottom="0" w:left="993" w:header="851" w:footer="851" w:gutter="0"/>
          <w:cols w:space="720"/>
        </w:sectPr>
      </w:pPr>
    </w:p>
    <w:p w:rsidR="009C1799" w:rsidRDefault="009C1799" w:rsidP="00DE3459">
      <w:pPr>
        <w:spacing w:after="0" w:line="240" w:lineRule="auto"/>
        <w:jc w:val="center"/>
        <w:rPr>
          <w:b/>
          <w:bCs/>
          <w:color w:val="0000FF"/>
          <w:sz w:val="28"/>
          <w:szCs w:val="32"/>
          <w:u w:val="single"/>
        </w:rPr>
      </w:pPr>
      <w:r>
        <w:rPr>
          <w:b/>
          <w:bCs/>
          <w:color w:val="0000FF"/>
          <w:sz w:val="28"/>
          <w:szCs w:val="28"/>
        </w:rPr>
        <w:lastRenderedPageBreak/>
        <w:t>Информационная карта земельного участка</w:t>
      </w:r>
    </w:p>
    <w:p w:rsidR="009C1799" w:rsidRDefault="009C1799" w:rsidP="00DE345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6096"/>
      </w:tblGrid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Руднянский район, Чистиковское с/п, вблизи д. Шеровичи и д. Дворище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№1 - 67:16:0020104:518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№2 - 67:16:0020104:519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№3 - 67:16:0020104:520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№4 - 67:16:0020104:521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№5 - 67:16:0020104:522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№6 - 67:16:0020104:523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№7 - 67:16:0020104:524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№8 - 67:16:0020104:525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№9 - 67:16:0020104:526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№10 - 67:16:0020104:527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№11 - 67:16:0020104:528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№12 - 67:16:0020104:529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№13 - 67:16:0020104:530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№14 - 67:16:0020104:531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№15 - 67:16:0020104:532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№16 - 67:16:0020104:533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№17 - 67:16:0020104:534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Смоленской области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аренда; 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выкуп в собственность с аукциона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Расчетная стоимость выкупа (аренды)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начальная цена земельных участков или годовой размер арендной платы за земельные участки определяется на основании отчета независимого оценщика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площадь всех земельных участков - 1005 га (№1 – 52,2 га, №2 – 87,2 га, №3 – 111,3 га, №4 – 39,6 га, №5 – 44,0 га, №6 – 98,7 га, №7 – 0,1 га, №8 – 10,8 га, №9 – 12,3 га, №10 – 2,1 га, №11 – 118,3 га, №12 – 105,5 га, №13 – 102, 4 га, №14 – 85,8 га, №15 – 44,2 га, №16 – 55, 2 га, №17 – 1,7 га)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да, мелиорированные земли – участки №1 - №7 (общая площадь мелиорированных земель составляет 366,65 га)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Удаленность участка от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410 км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г. Смоленска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 км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Рудня – от 0,2 км (от СЗ границы) до 4 км (от ЮВ границы)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з/у № 9-15 - д. Шеровичи – 0 км (примыкают)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 № 1-8 – д. Дворище – 0 км (примыкают)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з/у № 13-14 – г. Рудня – 0 км (примыкают)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автодорога</w:t>
            </w:r>
            <w:proofErr w:type="gramEnd"/>
            <w:r>
              <w:rPr>
                <w:sz w:val="20"/>
                <w:szCs w:val="20"/>
              </w:rPr>
              <w:t xml:space="preserve"> М1 «Беларусь» - 31 км (от ЮВ границы)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А141 «Орел – Рудня» - 0 км (примыкают)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ст. «Рудня» - от 2,5 км (от СЗ границы) до 4,5 км (от ЮВ границы)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А141 «Орел – Рудня» примыкает к площадке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площадке примыкает железная дорога «Смоленск-Витебск»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межмуниципальные транспортные маршруты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пригородный маршрут: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№232 «Рудня – Смоленск». Ближайшие остановки д. Дворище, д. Шеровичи, г. Рудня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маршрут: «Смоленск – Витебск». Ближайшие остановочные пункты д. Плоское и г. Рудня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Коммуникации, расположенные на территории участка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газопровод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ГВД (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325 мм)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ЛЭП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ЛЭП 110 кВ </w:t>
            </w:r>
          </w:p>
        </w:tc>
      </w:tr>
      <w:tr w:rsidR="009C1799" w:rsidTr="009C1799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сети телекоммуникаций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проложены телефонные кабели марок: </w:t>
            </w:r>
          </w:p>
          <w:p w:rsidR="009C1799" w:rsidRDefault="009C1799" w:rsidP="00DE3459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Медные: </w:t>
            </w:r>
            <w:proofErr w:type="gramStart"/>
            <w:r>
              <w:rPr>
                <w:sz w:val="20"/>
                <w:szCs w:val="20"/>
              </w:rPr>
              <w:t>КСПП(</w:t>
            </w:r>
            <w:proofErr w:type="gramEnd"/>
            <w:r>
              <w:rPr>
                <w:sz w:val="20"/>
                <w:szCs w:val="20"/>
              </w:rPr>
              <w:t>соединительная линия)-4шт, ТПП-10х2х0.4-1шт, ТПП-20х2х0.4-2шт, абонентские ПРММ-1х2-6шт., волоконно-оптический кабель СЛ(соединительная линия) - 2шт.</w:t>
            </w:r>
          </w:p>
          <w:p w:rsidR="009C1799" w:rsidRDefault="009C1799" w:rsidP="00DE3459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Медные ТПП-20х2х0.4-2шт, КСПП - 4шт.</w:t>
            </w:r>
          </w:p>
          <w:p w:rsidR="009C1799" w:rsidRDefault="009C1799" w:rsidP="00DE3459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Волоконно-оптический кабель.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имеется</w:t>
            </w:r>
            <w:proofErr w:type="gramEnd"/>
            <w:r>
              <w:rPr>
                <w:sz w:val="20"/>
                <w:szCs w:val="20"/>
              </w:rPr>
              <w:t xml:space="preserve"> возможность подключения к газопроводу п. Голынки – г. Рудня (объем потребления ≈ 3,0 тыс.м3/час)</w:t>
            </w:r>
          </w:p>
        </w:tc>
      </w:tr>
      <w:tr w:rsidR="009C1799" w:rsidTr="009C1799">
        <w:trPr>
          <w:trHeight w:val="205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 (стоимость подключения указана без НДС и налога на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прибыль)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подключения объекта на период строительства по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категории</w:t>
            </w:r>
            <w:r>
              <w:rPr>
                <w:sz w:val="20"/>
                <w:szCs w:val="20"/>
              </w:rPr>
              <w:t xml:space="preserve"> надежности (мощность строительной площадки 600-800 кВт) необходимо: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ЛЭП-10 кВ от ВЛ-1010 ПС «Рудня», протяженностью 0,5 км;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ЛЭП-10 кВ от ВЛ-1003 ПС «Рокот», протяженностью 2 км;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ТП-10/0,4 кВ;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подключения объекта по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категории</w:t>
            </w:r>
            <w:r>
              <w:rPr>
                <w:sz w:val="20"/>
                <w:szCs w:val="20"/>
              </w:rPr>
              <w:t xml:space="preserve"> надежности (мощность 10 МВт) необходимо: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ПС 110 кВ (250 000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ВЛ 110 кВ «Рудня – Голынки», 22 км (154 000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отпайки 2 по 1 км (10 000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ВЛ 10 кВ, 2 по 1 км (3 000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подключения объекта по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категории</w:t>
            </w:r>
            <w:r>
              <w:rPr>
                <w:sz w:val="20"/>
                <w:szCs w:val="20"/>
              </w:rPr>
              <w:t xml:space="preserve"> надежности (мощность более 10 МВт) необходимо: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ПС 110 кВ (250 000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ВЛ 110 кВ, 80 км (800 000 тыс.руб.);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ВЛ 10 кВ, 6 по 1 км (9 000 тыс.руб.)</w:t>
            </w:r>
          </w:p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подключения объекта с сетям электроснабжения по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категории</w:t>
            </w:r>
            <w:r>
              <w:rPr>
                <w:sz w:val="20"/>
                <w:szCs w:val="20"/>
              </w:rPr>
              <w:t xml:space="preserve"> надежности составит 1 059 000 тыс.руб.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строительство локальных сооружений</w:t>
            </w: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1799" w:rsidTr="009C179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99" w:rsidRDefault="009C1799" w:rsidP="00DE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Рудня – 7,8 тыс.чел.</w:t>
            </w:r>
          </w:p>
        </w:tc>
      </w:tr>
    </w:tbl>
    <w:p w:rsidR="006510AE" w:rsidRDefault="006510AE" w:rsidP="00DE3459">
      <w:pPr>
        <w:spacing w:after="0" w:line="240" w:lineRule="auto"/>
      </w:pPr>
    </w:p>
    <w:sectPr w:rsidR="006510AE" w:rsidSect="00DE34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52BEB"/>
    <w:multiLevelType w:val="hybridMultilevel"/>
    <w:tmpl w:val="BB30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799"/>
    <w:rsid w:val="006510AE"/>
    <w:rsid w:val="009C1799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4"/>
        <o:r id="V:Rule7" type="connector" idref="#_x0000_s1032"/>
        <o:r id="V:Rule8" type="connector" idref="#_x0000_s1041"/>
        <o:r id="V:Rule9" type="connector" idref="#_x0000_s1039"/>
        <o:r id="V:Rule10" type="connector" idref="#_x0000_s1035"/>
        <o:r id="V:Rule11" type="connector" idref="#_x0000_s1045"/>
        <o:r id="V:Rule12" type="connector" idref="#_x0000_s1043"/>
        <o:r id="V:Rule13" type="connector" idref="#_x0000_s1037"/>
        <o:r id="V:Rule14" type="connector" idref="#_x0000_s1042"/>
        <o:r id="V:Rule15" type="connector" idref="#_x0000_s1038"/>
        <o:r id="V:Rule16" type="connector" idref="#_x0000_s1044"/>
        <o:r id="V:Rule17" type="connector" idref="#_x0000_s1036"/>
      </o:rules>
    </o:shapelayout>
  </w:shapeDefaults>
  <w:decimalSymbol w:val=","/>
  <w:listSeparator w:val=";"/>
  <w15:docId w15:val="{7CDC0B5E-AD81-4DF8-B2E1-621E4CA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>ДЭРиТ Со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Ерохова Мария Александровна</cp:lastModifiedBy>
  <cp:revision>4</cp:revision>
  <dcterms:created xsi:type="dcterms:W3CDTF">2012-08-13T08:36:00Z</dcterms:created>
  <dcterms:modified xsi:type="dcterms:W3CDTF">2017-11-07T11:33:00Z</dcterms:modified>
</cp:coreProperties>
</file>