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AF" w:rsidRDefault="00CA02AF" w:rsidP="00CA02AF">
      <w:pPr>
        <w:pStyle w:val="1"/>
        <w:rPr>
          <w:sz w:val="24"/>
        </w:rPr>
      </w:pPr>
      <w:r>
        <w:rPr>
          <w:sz w:val="24"/>
        </w:rPr>
        <w:t>Паспорт инвестиционной площадки №67-18-72</w:t>
      </w:r>
    </w:p>
    <w:p w:rsidR="00CA02AF" w:rsidRDefault="00CA02AF" w:rsidP="00CA02AF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387"/>
        <w:gridCol w:w="7533"/>
      </w:tblGrid>
      <w:tr w:rsidR="00CA02AF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AF" w:rsidRDefault="00CA02AF" w:rsidP="009D2742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AF" w:rsidRPr="00A74F76" w:rsidRDefault="00CA02AF" w:rsidP="009D2742">
            <w:r w:rsidRPr="00A74F76">
              <w:rPr>
                <w:color w:val="000000"/>
              </w:rPr>
              <w:t>ИП д. Санники</w:t>
            </w:r>
          </w:p>
        </w:tc>
      </w:tr>
      <w:tr w:rsidR="00CA02AF" w:rsidTr="009D274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2AF" w:rsidRDefault="00CA02AF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2AF" w:rsidRDefault="00CA02AF" w:rsidP="009D2742"/>
        </w:tc>
      </w:tr>
      <w:tr w:rsidR="00CA02AF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AF" w:rsidRDefault="00CA02AF" w:rsidP="009D2742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CA02AF" w:rsidRDefault="00CA02AF" w:rsidP="009D2742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Кадастровый номер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AF" w:rsidRDefault="00CA02AF" w:rsidP="009D2742">
            <w:r>
              <w:t xml:space="preserve">Смоленская область, </w:t>
            </w:r>
            <w:r w:rsidRPr="00305F60">
              <w:t>Смоленский район,</w:t>
            </w:r>
            <w:r>
              <w:t xml:space="preserve"> с.п. </w:t>
            </w:r>
            <w:r w:rsidRPr="00305F60">
              <w:t>Пионерское, д. Санники</w:t>
            </w:r>
          </w:p>
        </w:tc>
      </w:tr>
      <w:tr w:rsidR="00CA02AF" w:rsidTr="009D274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2AF" w:rsidRDefault="00CA02AF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2AF" w:rsidRDefault="00CA02AF" w:rsidP="009D2742"/>
        </w:tc>
      </w:tr>
      <w:tr w:rsidR="00CA02AF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2AF" w:rsidRDefault="00CA02AF" w:rsidP="009D2742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AF" w:rsidRDefault="00CA02AF" w:rsidP="009D2742">
            <w:r>
              <w:t>Свободные земли</w:t>
            </w:r>
          </w:p>
        </w:tc>
      </w:tr>
    </w:tbl>
    <w:p w:rsidR="00CA02AF" w:rsidRDefault="00CA02AF" w:rsidP="00CA02AF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386"/>
        <w:gridCol w:w="7741"/>
      </w:tblGrid>
      <w:tr w:rsidR="00CA02AF" w:rsidTr="009D2742">
        <w:tc>
          <w:tcPr>
            <w:tcW w:w="2600" w:type="pct"/>
          </w:tcPr>
          <w:p w:rsidR="00CA02AF" w:rsidRDefault="00CA02AF" w:rsidP="009D2742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400" w:type="pct"/>
          </w:tcPr>
          <w:p w:rsidR="00CA02AF" w:rsidRDefault="00CA02AF" w:rsidP="009D2742">
            <w:r>
              <w:t>Администрация Пионерского сельского поселения</w:t>
            </w:r>
          </w:p>
        </w:tc>
      </w:tr>
      <w:tr w:rsidR="00CA02AF" w:rsidTr="009D2742">
        <w:tc>
          <w:tcPr>
            <w:tcW w:w="2600" w:type="pct"/>
          </w:tcPr>
          <w:p w:rsidR="00CA02AF" w:rsidRPr="00A33178" w:rsidRDefault="00CA02AF" w:rsidP="009D2742">
            <w:pPr>
              <w:rPr>
                <w:spacing w:val="-3"/>
              </w:rPr>
            </w:pPr>
            <w:r w:rsidRPr="00A33178">
              <w:rPr>
                <w:spacing w:val="-3"/>
                <w:szCs w:val="22"/>
              </w:rPr>
              <w:t>Форма собственности</w:t>
            </w:r>
          </w:p>
        </w:tc>
        <w:tc>
          <w:tcPr>
            <w:tcW w:w="2400" w:type="pct"/>
          </w:tcPr>
          <w:p w:rsidR="00CA02AF" w:rsidRDefault="00CA02AF" w:rsidP="009D2742">
            <w:r>
              <w:t>Муниципальная форма собственности</w:t>
            </w:r>
          </w:p>
        </w:tc>
      </w:tr>
      <w:tr w:rsidR="00CA02AF" w:rsidTr="009D2742">
        <w:tc>
          <w:tcPr>
            <w:tcW w:w="2600" w:type="pct"/>
            <w:tcBorders>
              <w:bottom w:val="single" w:sz="6" w:space="0" w:color="auto"/>
            </w:tcBorders>
          </w:tcPr>
          <w:p w:rsidR="00CA02AF" w:rsidRDefault="00CA02AF" w:rsidP="009D2742">
            <w:pPr>
              <w:shd w:val="clear" w:color="auto" w:fill="FFFFFF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400" w:type="pct"/>
            <w:tcBorders>
              <w:bottom w:val="single" w:sz="6" w:space="0" w:color="auto"/>
            </w:tcBorders>
          </w:tcPr>
          <w:p w:rsidR="00CA02AF" w:rsidRDefault="00CA02AF" w:rsidP="009D2742">
            <w:r>
              <w:t xml:space="preserve">214517 Смоленская область, Смоленский район, д. Санники, </w:t>
            </w:r>
          </w:p>
          <w:p w:rsidR="00CA02AF" w:rsidRDefault="00CA02AF" w:rsidP="009D2742">
            <w:r>
              <w:t>ул. Центральная, д. 23-а    (4812)  35-62-70     36-38-47</w:t>
            </w:r>
          </w:p>
        </w:tc>
      </w:tr>
      <w:tr w:rsidR="00CA02AF" w:rsidTr="009D2742">
        <w:tc>
          <w:tcPr>
            <w:tcW w:w="2600" w:type="pct"/>
            <w:tcBorders>
              <w:bottom w:val="nil"/>
            </w:tcBorders>
          </w:tcPr>
          <w:p w:rsidR="00CA02AF" w:rsidRDefault="00CA02AF" w:rsidP="009D2742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400" w:type="pct"/>
            <w:tcBorders>
              <w:bottom w:val="nil"/>
            </w:tcBorders>
          </w:tcPr>
          <w:p w:rsidR="00CA02AF" w:rsidRDefault="00CA02AF" w:rsidP="009D2742">
            <w:r>
              <w:t>Рыбакова Елена Анатольевна</w:t>
            </w:r>
          </w:p>
        </w:tc>
      </w:tr>
      <w:tr w:rsidR="00CA02AF" w:rsidTr="009D2742">
        <w:tc>
          <w:tcPr>
            <w:tcW w:w="2600" w:type="pct"/>
            <w:tcBorders>
              <w:top w:val="nil"/>
              <w:bottom w:val="nil"/>
            </w:tcBorders>
          </w:tcPr>
          <w:p w:rsidR="00CA02AF" w:rsidRDefault="00CA02AF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400" w:type="pct"/>
            <w:tcBorders>
              <w:top w:val="nil"/>
              <w:bottom w:val="nil"/>
            </w:tcBorders>
          </w:tcPr>
          <w:p w:rsidR="00CA02AF" w:rsidRDefault="00CA02AF" w:rsidP="009D2742">
            <w:r w:rsidRPr="00624362">
              <w:t>Глава муниципального образования  Пионерского сельского поселения Смоленского района Смоленской области</w:t>
            </w:r>
          </w:p>
        </w:tc>
      </w:tr>
      <w:tr w:rsidR="00CA02AF" w:rsidTr="009D2742">
        <w:tc>
          <w:tcPr>
            <w:tcW w:w="2600" w:type="pct"/>
            <w:tcBorders>
              <w:top w:val="nil"/>
              <w:bottom w:val="nil"/>
            </w:tcBorders>
          </w:tcPr>
          <w:p w:rsidR="00CA02AF" w:rsidRDefault="00CA02AF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400" w:type="pct"/>
            <w:tcBorders>
              <w:top w:val="nil"/>
              <w:bottom w:val="nil"/>
            </w:tcBorders>
          </w:tcPr>
          <w:p w:rsidR="00CA02AF" w:rsidRDefault="00CA02AF" w:rsidP="009D2742">
            <w:r>
              <w:t>(4812) 36-38-47</w:t>
            </w:r>
          </w:p>
        </w:tc>
      </w:tr>
      <w:tr w:rsidR="00CA02AF" w:rsidTr="009D2742">
        <w:tc>
          <w:tcPr>
            <w:tcW w:w="2600" w:type="pct"/>
            <w:tcBorders>
              <w:top w:val="nil"/>
            </w:tcBorders>
          </w:tcPr>
          <w:p w:rsidR="00CA02AF" w:rsidRDefault="00CA02AF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400" w:type="pct"/>
            <w:tcBorders>
              <w:top w:val="nil"/>
            </w:tcBorders>
          </w:tcPr>
          <w:p w:rsidR="00CA02AF" w:rsidRPr="00DA0381" w:rsidRDefault="00CA02AF" w:rsidP="009D2742">
            <w:pPr>
              <w:rPr>
                <w:lang w:val="en-US"/>
              </w:rPr>
            </w:pPr>
            <w:r>
              <w:rPr>
                <w:lang w:val="en-US"/>
              </w:rPr>
              <w:t>pionersk@admin.sml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</w:p>
        </w:tc>
        <w:tc>
          <w:tcPr>
            <w:tcW w:w="2400" w:type="pct"/>
          </w:tcPr>
          <w:p w:rsidR="00CA02AF" w:rsidRPr="00992B22" w:rsidRDefault="00CA02AF" w:rsidP="009D2742">
            <w:pPr>
              <w:jc w:val="both"/>
            </w:pPr>
            <w:r w:rsidRPr="00992B22">
              <w:rPr>
                <w:sz w:val="22"/>
              </w:rPr>
              <w:t>Покупка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400" w:type="pct"/>
          </w:tcPr>
          <w:p w:rsidR="00CA02AF" w:rsidRDefault="00CA02AF" w:rsidP="009D2742">
            <w:pPr>
              <w:jc w:val="both"/>
              <w:rPr>
                <w:rFonts w:ascii="Arial" w:hAnsi="Arial" w:cs="Arial"/>
              </w:rPr>
            </w:pP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400" w:type="pct"/>
          </w:tcPr>
          <w:p w:rsidR="00CA02AF" w:rsidRDefault="00CA02AF" w:rsidP="009D2742">
            <w:pPr>
              <w:jc w:val="both"/>
              <w:rPr>
                <w:rFonts w:ascii="Arial" w:hAnsi="Arial" w:cs="Arial"/>
              </w:rPr>
            </w:pPr>
            <w:r>
              <w:t>Начальная цена земельных участков определяется на основании отчета независимого оценщика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00" w:type="pct"/>
          </w:tcPr>
          <w:p w:rsidR="00CA02AF" w:rsidRDefault="00CA02AF" w:rsidP="009D2742">
            <w:pPr>
              <w:jc w:val="both"/>
              <w:rPr>
                <w:rFonts w:ascii="Arial" w:hAnsi="Arial" w:cs="Arial"/>
              </w:rPr>
            </w:pP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400" w:type="pct"/>
          </w:tcPr>
          <w:p w:rsidR="00CA02AF" w:rsidRDefault="00CA02AF" w:rsidP="009D2742"/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га </w:t>
            </w:r>
          </w:p>
        </w:tc>
        <w:tc>
          <w:tcPr>
            <w:tcW w:w="2400" w:type="pct"/>
          </w:tcPr>
          <w:p w:rsidR="00CA02AF" w:rsidRDefault="00CA02AF" w:rsidP="009D2742">
            <w:r>
              <w:t>7 га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400" w:type="pct"/>
          </w:tcPr>
          <w:p w:rsidR="00CA02AF" w:rsidRDefault="00CA02AF" w:rsidP="009D2742">
            <w:r>
              <w:t>Прямоугольная форма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400" w:type="pct"/>
          </w:tcPr>
          <w:p w:rsidR="00CA02AF" w:rsidRDefault="00CA02AF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350х200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400" w:type="pct"/>
          </w:tcPr>
          <w:p w:rsidR="00CA02AF" w:rsidRDefault="00CA02AF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400" w:type="pct"/>
          </w:tcPr>
          <w:p w:rsidR="00CA02AF" w:rsidRDefault="00CA02AF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>
              <w:rPr>
                <w:sz w:val="23"/>
                <w:szCs w:val="23"/>
              </w:rPr>
              <w:lastRenderedPageBreak/>
              <w:t>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00" w:type="pct"/>
          </w:tcPr>
          <w:p w:rsidR="00CA02AF" w:rsidRDefault="00CA02AF" w:rsidP="009D2742">
            <w:r>
              <w:lastRenderedPageBreak/>
              <w:t>Земли сельскохозяйственного использования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rPr>
                <w:spacing w:val="-3"/>
              </w:rPr>
            </w:pPr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00" w:type="pct"/>
          </w:tcPr>
          <w:p w:rsidR="00CA02AF" w:rsidRDefault="00CA02AF" w:rsidP="009D2742">
            <w:r>
              <w:t>Агропромышленная база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400" w:type="pct"/>
          </w:tcPr>
          <w:p w:rsidR="00CA02AF" w:rsidRDefault="00CA02AF" w:rsidP="009D2742">
            <w:r>
              <w:t>Здание  бывшей мастерской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00" w:type="pct"/>
          </w:tcPr>
          <w:p w:rsidR="00CA02AF" w:rsidRDefault="00CA02AF" w:rsidP="009D2742">
            <w:r>
              <w:t>Нет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400" w:type="pct"/>
          </w:tcPr>
          <w:p w:rsidR="00CA02AF" w:rsidRDefault="00CA02AF" w:rsidP="009D2742">
            <w:r>
              <w:t>Нет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00" w:type="pct"/>
          </w:tcPr>
          <w:p w:rsidR="00CA02AF" w:rsidRDefault="00CA02AF" w:rsidP="009D2742">
            <w:r>
              <w:t>Горизонтальная поверхность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400" w:type="pct"/>
          </w:tcPr>
          <w:p w:rsidR="00CA02AF" w:rsidRDefault="00CA02AF" w:rsidP="009D2742">
            <w:r>
              <w:t>Суглинок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400" w:type="pct"/>
          </w:tcPr>
          <w:p w:rsidR="00CA02AF" w:rsidRDefault="00CA02AF" w:rsidP="009D2742">
            <w:r>
              <w:t>1,2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400" w:type="pct"/>
          </w:tcPr>
          <w:p w:rsidR="00CA02AF" w:rsidRDefault="00CA02AF" w:rsidP="009D2742">
            <w:r>
              <w:t>5-7 м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400" w:type="pct"/>
          </w:tcPr>
          <w:p w:rsidR="00CA02AF" w:rsidRDefault="00CA02AF" w:rsidP="009D2742">
            <w:r>
              <w:t>Нет</w:t>
            </w:r>
          </w:p>
        </w:tc>
      </w:tr>
      <w:tr w:rsidR="00CA02AF" w:rsidTr="009D2742">
        <w:tc>
          <w:tcPr>
            <w:tcW w:w="2600" w:type="pct"/>
          </w:tcPr>
          <w:p w:rsidR="00CA02AF" w:rsidRPr="00A74F76" w:rsidRDefault="00CA02AF" w:rsidP="009D2742">
            <w:pPr>
              <w:shd w:val="clear" w:color="auto" w:fill="FFFFFF"/>
              <w:ind w:left="43"/>
              <w:rPr>
                <w:b/>
                <w:spacing w:val="-3"/>
              </w:rPr>
            </w:pPr>
            <w:r w:rsidRPr="00A74F76">
              <w:rPr>
                <w:b/>
                <w:spacing w:val="-3"/>
                <w:szCs w:val="22"/>
              </w:rPr>
              <w:t>Приоритетное направление использования площадки</w:t>
            </w:r>
          </w:p>
        </w:tc>
        <w:tc>
          <w:tcPr>
            <w:tcW w:w="2400" w:type="pct"/>
          </w:tcPr>
          <w:p w:rsidR="00CA02AF" w:rsidRDefault="00CA02AF" w:rsidP="009D2742">
            <w:r>
              <w:t>Для сельскохозяйственного производства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территорийи их использования</w:t>
            </w:r>
          </w:p>
        </w:tc>
        <w:tc>
          <w:tcPr>
            <w:tcW w:w="2400" w:type="pct"/>
          </w:tcPr>
          <w:p w:rsidR="00CA02AF" w:rsidRDefault="00CA02AF" w:rsidP="009D2742"/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400" w:type="pct"/>
          </w:tcPr>
          <w:p w:rsidR="00CA02AF" w:rsidRDefault="00CA02AF" w:rsidP="009D2742">
            <w:r>
              <w:t>0,1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00" w:type="pct"/>
          </w:tcPr>
          <w:p w:rsidR="00CA02AF" w:rsidRDefault="00CA02AF" w:rsidP="009D2742">
            <w:r>
              <w:t>Нет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00" w:type="pct"/>
          </w:tcPr>
          <w:p w:rsidR="00CA02AF" w:rsidRDefault="00CA02AF" w:rsidP="009D2742">
            <w:r>
              <w:t>Нет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00" w:type="pct"/>
          </w:tcPr>
          <w:p w:rsidR="00CA02AF" w:rsidRDefault="00CA02AF" w:rsidP="009D2742">
            <w:r>
              <w:t>Сельскохозяйственное использование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400" w:type="pct"/>
          </w:tcPr>
          <w:p w:rsidR="00CA02AF" w:rsidRDefault="00CA02AF" w:rsidP="009D2742">
            <w:r>
              <w:t xml:space="preserve">Не используется </w:t>
            </w:r>
          </w:p>
        </w:tc>
      </w:tr>
      <w:tr w:rsidR="00CA02AF" w:rsidTr="009D2742">
        <w:tc>
          <w:tcPr>
            <w:tcW w:w="2600" w:type="pct"/>
          </w:tcPr>
          <w:p w:rsidR="00CA02AF" w:rsidRDefault="00CA02AF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400" w:type="pct"/>
          </w:tcPr>
          <w:p w:rsidR="00CA02AF" w:rsidRDefault="00CA02AF" w:rsidP="009D2742">
            <w:r>
              <w:t>Мехмастерская, склады</w:t>
            </w:r>
          </w:p>
        </w:tc>
      </w:tr>
    </w:tbl>
    <w:p w:rsidR="00CA02AF" w:rsidRDefault="00CA02AF" w:rsidP="00CA02AF">
      <w:pPr>
        <w:rPr>
          <w:b/>
          <w:bCs/>
        </w:rPr>
      </w:pPr>
    </w:p>
    <w:p w:rsidR="00CA02AF" w:rsidRDefault="00CA02AF" w:rsidP="00CA02AF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CA02AF" w:rsidRDefault="00CA02AF" w:rsidP="00CA02AF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530"/>
        <w:gridCol w:w="7390"/>
      </w:tblGrid>
      <w:tr w:rsidR="00CA02AF" w:rsidTr="009D2742">
        <w:tc>
          <w:tcPr>
            <w:tcW w:w="2679" w:type="pct"/>
          </w:tcPr>
          <w:p w:rsidR="00CA02AF" w:rsidRDefault="00CA02AF" w:rsidP="009D2742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CA02AF" w:rsidRDefault="00CA02AF" w:rsidP="009D2742">
            <w:r>
              <w:rPr>
                <w:spacing w:val="-2"/>
                <w:szCs w:val="22"/>
              </w:rPr>
              <w:t>г. Смоленск   -  34 км</w:t>
            </w:r>
          </w:p>
        </w:tc>
      </w:tr>
      <w:tr w:rsidR="00CA02AF" w:rsidTr="009D2742">
        <w:tc>
          <w:tcPr>
            <w:tcW w:w="2679" w:type="pct"/>
          </w:tcPr>
          <w:p w:rsidR="00CA02AF" w:rsidRDefault="00CA02AF" w:rsidP="009D2742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CA02AF" w:rsidRDefault="00CA02AF" w:rsidP="009D2742"/>
        </w:tc>
      </w:tr>
      <w:tr w:rsidR="00CA02AF" w:rsidTr="009D2742">
        <w:tc>
          <w:tcPr>
            <w:tcW w:w="2679" w:type="pct"/>
          </w:tcPr>
          <w:p w:rsidR="00CA02AF" w:rsidRDefault="00CA02AF" w:rsidP="009D2742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CA02AF" w:rsidRDefault="00CA02AF" w:rsidP="009D2742">
            <w:r>
              <w:rPr>
                <w:spacing w:val="-2"/>
                <w:szCs w:val="22"/>
              </w:rPr>
              <w:t>г. Смоленск   -  34 км</w:t>
            </w:r>
          </w:p>
        </w:tc>
      </w:tr>
      <w:tr w:rsidR="00CA02AF" w:rsidTr="009D2742">
        <w:tc>
          <w:tcPr>
            <w:tcW w:w="2679" w:type="pct"/>
          </w:tcPr>
          <w:p w:rsidR="00CA02AF" w:rsidRDefault="00CA02AF" w:rsidP="009D2742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CA02AF" w:rsidRDefault="00CA02AF" w:rsidP="009D2742">
            <w:r>
              <w:t>пгт. Монастырщина – 27 км</w:t>
            </w:r>
          </w:p>
        </w:tc>
      </w:tr>
      <w:tr w:rsidR="00CA02AF" w:rsidTr="009D2742">
        <w:tc>
          <w:tcPr>
            <w:tcW w:w="2679" w:type="pct"/>
          </w:tcPr>
          <w:p w:rsidR="00CA02AF" w:rsidRDefault="00CA02AF" w:rsidP="009D2742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CA02AF" w:rsidRDefault="00CA02AF" w:rsidP="009D2742">
            <w:r>
              <w:t>В границах населенного пункта</w:t>
            </w:r>
          </w:p>
        </w:tc>
      </w:tr>
      <w:tr w:rsidR="00CA02AF" w:rsidTr="009D2742">
        <w:tc>
          <w:tcPr>
            <w:tcW w:w="2679" w:type="pct"/>
          </w:tcPr>
          <w:p w:rsidR="00CA02AF" w:rsidRDefault="00CA02AF" w:rsidP="009D2742">
            <w:r>
              <w:rPr>
                <w:spacing w:val="-3"/>
                <w:szCs w:val="22"/>
              </w:rPr>
              <w:lastRenderedPageBreak/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CA02AF" w:rsidRDefault="00CA02AF" w:rsidP="009D2742"/>
        </w:tc>
      </w:tr>
      <w:tr w:rsidR="00CA02AF" w:rsidTr="009D2742">
        <w:trPr>
          <w:trHeight w:val="178"/>
        </w:trPr>
        <w:tc>
          <w:tcPr>
            <w:tcW w:w="2679" w:type="pct"/>
          </w:tcPr>
          <w:p w:rsidR="00CA02AF" w:rsidRDefault="00CA02AF" w:rsidP="009D2742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CA02AF" w:rsidRDefault="00CA02AF" w:rsidP="009D2742"/>
        </w:tc>
      </w:tr>
    </w:tbl>
    <w:p w:rsidR="00CA02AF" w:rsidRDefault="00CA02AF" w:rsidP="00CA02AF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530"/>
        <w:gridCol w:w="7390"/>
      </w:tblGrid>
      <w:tr w:rsidR="00CA02AF" w:rsidTr="009D2742">
        <w:trPr>
          <w:trHeight w:val="178"/>
        </w:trPr>
        <w:tc>
          <w:tcPr>
            <w:tcW w:w="2679" w:type="pct"/>
          </w:tcPr>
          <w:p w:rsidR="00CA02AF" w:rsidRDefault="00CA02AF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CA02AF" w:rsidRDefault="00CA02AF" w:rsidP="009D2742"/>
        </w:tc>
      </w:tr>
      <w:tr w:rsidR="00CA02AF" w:rsidTr="009D2742">
        <w:trPr>
          <w:trHeight w:val="178"/>
        </w:trPr>
        <w:tc>
          <w:tcPr>
            <w:tcW w:w="2679" w:type="pct"/>
          </w:tcPr>
          <w:p w:rsidR="00CA02AF" w:rsidRDefault="00CA02AF" w:rsidP="009D2742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CA02AF" w:rsidRDefault="00CA02AF" w:rsidP="009D2742">
            <w:r>
              <w:t>а/д Смоленск –Упокой – асфальт</w:t>
            </w:r>
          </w:p>
          <w:p w:rsidR="00CA02AF" w:rsidRDefault="00CA02AF" w:rsidP="009D2742">
            <w:r>
              <w:t>а/д Санники_д. Хламово - гравийная</w:t>
            </w:r>
          </w:p>
        </w:tc>
      </w:tr>
      <w:tr w:rsidR="00CA02AF" w:rsidTr="009D2742">
        <w:trPr>
          <w:trHeight w:val="178"/>
        </w:trPr>
        <w:tc>
          <w:tcPr>
            <w:tcW w:w="2679" w:type="pct"/>
          </w:tcPr>
          <w:p w:rsidR="00CA02AF" w:rsidRDefault="00CA02AF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CA02AF" w:rsidRDefault="00CA02AF" w:rsidP="009D2742">
            <w:r>
              <w:t>нет</w:t>
            </w:r>
          </w:p>
        </w:tc>
      </w:tr>
      <w:tr w:rsidR="00CA02AF" w:rsidTr="009D2742">
        <w:trPr>
          <w:trHeight w:val="178"/>
        </w:trPr>
        <w:tc>
          <w:tcPr>
            <w:tcW w:w="2679" w:type="pct"/>
          </w:tcPr>
          <w:p w:rsidR="00CA02AF" w:rsidRDefault="00CA02AF" w:rsidP="009D2742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CA02AF" w:rsidRDefault="00CA02AF" w:rsidP="009D2742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CA02AF" w:rsidRDefault="00CA02AF" w:rsidP="009D2742"/>
        </w:tc>
      </w:tr>
      <w:tr w:rsidR="00CA02AF" w:rsidTr="009D2742">
        <w:trPr>
          <w:trHeight w:val="178"/>
        </w:trPr>
        <w:tc>
          <w:tcPr>
            <w:tcW w:w="2679" w:type="pct"/>
          </w:tcPr>
          <w:p w:rsidR="00CA02AF" w:rsidRDefault="00CA02AF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CA02AF" w:rsidRDefault="00CA02AF" w:rsidP="009D2742"/>
        </w:tc>
      </w:tr>
    </w:tbl>
    <w:p w:rsidR="00CA02AF" w:rsidRDefault="00CA02AF" w:rsidP="00CA02AF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786"/>
        <w:gridCol w:w="1747"/>
        <w:gridCol w:w="1744"/>
        <w:gridCol w:w="1441"/>
        <w:gridCol w:w="2060"/>
        <w:gridCol w:w="1802"/>
        <w:gridCol w:w="1751"/>
        <w:gridCol w:w="1748"/>
        <w:gridCol w:w="1841"/>
      </w:tblGrid>
      <w:tr w:rsidR="00CA02AF" w:rsidTr="009D2742">
        <w:trPr>
          <w:cantSplit/>
          <w:trHeight w:val="284"/>
        </w:trPr>
        <w:tc>
          <w:tcPr>
            <w:tcW w:w="561" w:type="pct"/>
            <w:vAlign w:val="center"/>
          </w:tcPr>
          <w:p w:rsidR="00CA02AF" w:rsidRDefault="00CA02AF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549" w:type="pct"/>
            <w:vAlign w:val="center"/>
          </w:tcPr>
          <w:p w:rsidR="00CA02AF" w:rsidRDefault="00CA02AF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548" w:type="pct"/>
            <w:vAlign w:val="center"/>
          </w:tcPr>
          <w:p w:rsidR="00CA02AF" w:rsidRDefault="00CA02AF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53" w:type="pct"/>
            <w:vAlign w:val="center"/>
          </w:tcPr>
          <w:p w:rsidR="00CA02AF" w:rsidRDefault="00CA02AF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647" w:type="pct"/>
            <w:vAlign w:val="center"/>
          </w:tcPr>
          <w:p w:rsidR="00CA02AF" w:rsidRDefault="00CA02AF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566" w:type="pct"/>
            <w:vAlign w:val="center"/>
          </w:tcPr>
          <w:p w:rsidR="00CA02AF" w:rsidRDefault="00CA02AF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550" w:type="pct"/>
            <w:vAlign w:val="center"/>
          </w:tcPr>
          <w:p w:rsidR="00CA02AF" w:rsidRDefault="00CA02AF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549" w:type="pct"/>
            <w:vAlign w:val="center"/>
          </w:tcPr>
          <w:p w:rsidR="00CA02AF" w:rsidRDefault="00CA02AF" w:rsidP="009D2742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578" w:type="pct"/>
          </w:tcPr>
          <w:p w:rsidR="00CA02AF" w:rsidRDefault="00CA02AF" w:rsidP="009D2742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CA02AF" w:rsidTr="009D2742">
        <w:trPr>
          <w:cantSplit/>
          <w:trHeight w:val="284"/>
        </w:trPr>
        <w:tc>
          <w:tcPr>
            <w:tcW w:w="561" w:type="pct"/>
            <w:vAlign w:val="center"/>
          </w:tcPr>
          <w:p w:rsidR="00CA02AF" w:rsidRDefault="00CA02AF" w:rsidP="009D2742">
            <w:pPr>
              <w:shd w:val="clear" w:color="auto" w:fill="FFFFFF"/>
              <w:jc w:val="center"/>
            </w:pPr>
            <w:r>
              <w:t>Здание бывшей мастерской</w:t>
            </w:r>
          </w:p>
        </w:tc>
        <w:tc>
          <w:tcPr>
            <w:tcW w:w="549" w:type="pct"/>
            <w:vAlign w:val="center"/>
          </w:tcPr>
          <w:p w:rsidR="00CA02AF" w:rsidRDefault="00CA02AF" w:rsidP="009D2742">
            <w:pPr>
              <w:jc w:val="center"/>
            </w:pPr>
            <w:r>
              <w:t>300м2</w:t>
            </w:r>
          </w:p>
        </w:tc>
        <w:tc>
          <w:tcPr>
            <w:tcW w:w="548" w:type="pct"/>
            <w:vAlign w:val="center"/>
          </w:tcPr>
          <w:p w:rsidR="00CA02AF" w:rsidRDefault="00CA02AF" w:rsidP="009D2742">
            <w:pPr>
              <w:jc w:val="center"/>
            </w:pPr>
          </w:p>
        </w:tc>
        <w:tc>
          <w:tcPr>
            <w:tcW w:w="453" w:type="pct"/>
            <w:vAlign w:val="center"/>
          </w:tcPr>
          <w:p w:rsidR="00CA02AF" w:rsidRDefault="00CA02AF" w:rsidP="009D2742">
            <w:pPr>
              <w:jc w:val="center"/>
            </w:pPr>
            <w:r>
              <w:t>1</w:t>
            </w:r>
          </w:p>
        </w:tc>
        <w:tc>
          <w:tcPr>
            <w:tcW w:w="647" w:type="pct"/>
            <w:vAlign w:val="center"/>
          </w:tcPr>
          <w:p w:rsidR="00CA02AF" w:rsidRDefault="00CA02AF" w:rsidP="009D2742">
            <w:pPr>
              <w:jc w:val="center"/>
            </w:pPr>
            <w:r>
              <w:t>12</w:t>
            </w:r>
          </w:p>
        </w:tc>
        <w:tc>
          <w:tcPr>
            <w:tcW w:w="566" w:type="pct"/>
            <w:vAlign w:val="center"/>
          </w:tcPr>
          <w:p w:rsidR="00CA02AF" w:rsidRDefault="00CA02AF" w:rsidP="009D2742">
            <w:pPr>
              <w:shd w:val="clear" w:color="auto" w:fill="FFFFFF"/>
              <w:jc w:val="center"/>
            </w:pPr>
            <w:r>
              <w:t>Кирпич</w:t>
            </w:r>
          </w:p>
        </w:tc>
        <w:tc>
          <w:tcPr>
            <w:tcW w:w="550" w:type="pct"/>
            <w:vAlign w:val="center"/>
          </w:tcPr>
          <w:p w:rsidR="00CA02AF" w:rsidRDefault="00CA02AF" w:rsidP="009D2742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549" w:type="pct"/>
            <w:vAlign w:val="center"/>
          </w:tcPr>
          <w:p w:rsidR="00CA02AF" w:rsidRDefault="00CA02AF" w:rsidP="009D2742">
            <w:pPr>
              <w:shd w:val="clear" w:color="auto" w:fill="FFFFFF"/>
              <w:ind w:left="269"/>
              <w:jc w:val="center"/>
            </w:pPr>
            <w:r>
              <w:t>Есть</w:t>
            </w:r>
          </w:p>
        </w:tc>
        <w:tc>
          <w:tcPr>
            <w:tcW w:w="578" w:type="pct"/>
            <w:vAlign w:val="center"/>
          </w:tcPr>
          <w:p w:rsidR="00CA02AF" w:rsidRDefault="00CA02AF" w:rsidP="009D2742">
            <w:pPr>
              <w:shd w:val="clear" w:color="auto" w:fill="FFFFFF"/>
              <w:ind w:left="269"/>
              <w:jc w:val="center"/>
            </w:pPr>
            <w:r>
              <w:t>Не используется</w:t>
            </w:r>
          </w:p>
        </w:tc>
      </w:tr>
    </w:tbl>
    <w:p w:rsidR="00CA02AF" w:rsidRDefault="00CA02AF" w:rsidP="00CA02AF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234"/>
        <w:gridCol w:w="7686"/>
      </w:tblGrid>
      <w:tr w:rsidR="00CA02AF" w:rsidTr="009D2742">
        <w:tc>
          <w:tcPr>
            <w:tcW w:w="2586" w:type="pct"/>
          </w:tcPr>
          <w:p w:rsidR="00CA02AF" w:rsidRDefault="00CA02AF" w:rsidP="009D2742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CA02AF" w:rsidRDefault="00CA02AF" w:rsidP="009D2742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CA02AF" w:rsidTr="009D2742">
        <w:tc>
          <w:tcPr>
            <w:tcW w:w="2586" w:type="pct"/>
          </w:tcPr>
          <w:p w:rsidR="00CA02AF" w:rsidRDefault="00CA02AF" w:rsidP="009D2742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CA02AF" w:rsidRDefault="00CA02AF" w:rsidP="009D2742"/>
        </w:tc>
      </w:tr>
      <w:tr w:rsidR="00CA02AF" w:rsidTr="009D2742">
        <w:tc>
          <w:tcPr>
            <w:tcW w:w="2586" w:type="pct"/>
          </w:tcPr>
          <w:p w:rsidR="00CA02AF" w:rsidRDefault="00CA02AF" w:rsidP="009D2742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CA02AF" w:rsidRDefault="00CA02AF" w:rsidP="009D2742">
            <w:r>
              <w:t>-</w:t>
            </w:r>
          </w:p>
        </w:tc>
      </w:tr>
      <w:tr w:rsidR="00CA02AF" w:rsidTr="009D2742">
        <w:tc>
          <w:tcPr>
            <w:tcW w:w="2586" w:type="pct"/>
          </w:tcPr>
          <w:p w:rsidR="00CA02AF" w:rsidRDefault="00CA02AF" w:rsidP="009D2742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CA02AF" w:rsidRDefault="00CA02AF" w:rsidP="009D2742">
            <w:r>
              <w:t>-</w:t>
            </w:r>
          </w:p>
        </w:tc>
      </w:tr>
    </w:tbl>
    <w:p w:rsidR="00CA02AF" w:rsidRDefault="00CA02AF" w:rsidP="00CA02AF">
      <w:pPr>
        <w:spacing w:line="228" w:lineRule="auto"/>
      </w:pPr>
    </w:p>
    <w:p w:rsidR="00CA02AF" w:rsidRDefault="00CA02AF" w:rsidP="00CA02AF">
      <w:pPr>
        <w:pStyle w:val="6"/>
      </w:pPr>
      <w:r>
        <w:t>Характеристика инженерной инфраструктуры</w:t>
      </w:r>
    </w:p>
    <w:p w:rsidR="00CA02AF" w:rsidRDefault="00CA02AF" w:rsidP="00CA02AF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156"/>
        <w:gridCol w:w="1341"/>
        <w:gridCol w:w="4725"/>
        <w:gridCol w:w="2378"/>
        <w:gridCol w:w="1598"/>
        <w:gridCol w:w="3722"/>
      </w:tblGrid>
      <w:tr w:rsidR="00CA02AF" w:rsidTr="009D2742">
        <w:trPr>
          <w:cantSplit/>
          <w:trHeight w:val="290"/>
        </w:trPr>
        <w:tc>
          <w:tcPr>
            <w:tcW w:w="677" w:type="pct"/>
            <w:vAlign w:val="center"/>
          </w:tcPr>
          <w:p w:rsidR="00CA02AF" w:rsidRDefault="00CA02AF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lastRenderedPageBreak/>
              <w:t>Вид инфраструктуры</w:t>
            </w:r>
          </w:p>
        </w:tc>
        <w:tc>
          <w:tcPr>
            <w:tcW w:w="421" w:type="pct"/>
            <w:vAlign w:val="center"/>
          </w:tcPr>
          <w:p w:rsidR="00CA02AF" w:rsidRDefault="00CA02AF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84" w:type="pct"/>
            <w:vAlign w:val="center"/>
          </w:tcPr>
          <w:p w:rsidR="00CA02AF" w:rsidRDefault="00CA02AF" w:rsidP="009D2742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CA02AF" w:rsidRDefault="00CA02AF" w:rsidP="009D2742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47" w:type="pct"/>
            <w:vAlign w:val="center"/>
          </w:tcPr>
          <w:p w:rsidR="00CA02AF" w:rsidRDefault="00CA02AF" w:rsidP="009D2742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02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69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CA02AF" w:rsidTr="009D2742">
        <w:trPr>
          <w:cantSplit/>
          <w:trHeight w:val="716"/>
        </w:trPr>
        <w:tc>
          <w:tcPr>
            <w:tcW w:w="677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Газоснабжение</w:t>
            </w:r>
          </w:p>
        </w:tc>
        <w:tc>
          <w:tcPr>
            <w:tcW w:w="421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84" w:type="pct"/>
          </w:tcPr>
          <w:p w:rsidR="00CA02AF" w:rsidRPr="00A274AF" w:rsidRDefault="00CA02AF" w:rsidP="009D2742">
            <w:pPr>
              <w:jc w:val="both"/>
            </w:pPr>
            <w:r>
              <w:t>Т</w:t>
            </w:r>
            <w:r w:rsidRPr="00A274AF">
              <w:t>очка подключения в 50 м от участка</w:t>
            </w:r>
          </w:p>
          <w:p w:rsidR="00CA02AF" w:rsidRDefault="00CA02AF" w:rsidP="009D2742">
            <w:pPr>
              <w:jc w:val="both"/>
              <w:rPr>
                <w:spacing w:val="-4"/>
              </w:rPr>
            </w:pPr>
            <w:r w:rsidRPr="00A274AF">
              <w:t>(труба диаметром 110 мм)</w:t>
            </w:r>
            <w:r>
              <w:t xml:space="preserve">. </w:t>
            </w:r>
            <w:r w:rsidRPr="00B9015B">
              <w:t xml:space="preserve">Сроки осуществления технологического присоединения – 3 месяца; стоимость технологического присоединения – </w:t>
            </w:r>
            <w:r>
              <w:t>5,7</w:t>
            </w:r>
            <w:r w:rsidRPr="00A75A22">
              <w:rPr>
                <w:color w:val="FF0000"/>
              </w:rPr>
              <w:t xml:space="preserve"> </w:t>
            </w:r>
            <w:r w:rsidRPr="007F1E00">
              <w:t>млн. рублей.</w:t>
            </w:r>
          </w:p>
        </w:tc>
        <w:tc>
          <w:tcPr>
            <w:tcW w:w="747" w:type="pct"/>
          </w:tcPr>
          <w:p w:rsidR="00CA02AF" w:rsidRDefault="00CA02AF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АО «Газпром газораспределение Смоленск» 214019, г. Смоленск, Трамвайный проезд,  д. 10, тел: +7(4812)55-65-72</w:t>
            </w:r>
          </w:p>
        </w:tc>
      </w:tr>
      <w:tr w:rsidR="00CA02AF" w:rsidTr="009D2742">
        <w:trPr>
          <w:cantSplit/>
          <w:trHeight w:val="286"/>
        </w:trPr>
        <w:tc>
          <w:tcPr>
            <w:tcW w:w="677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Электроснабжение</w:t>
            </w:r>
          </w:p>
        </w:tc>
        <w:tc>
          <w:tcPr>
            <w:tcW w:w="421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84" w:type="pct"/>
          </w:tcPr>
          <w:p w:rsidR="00CA02AF" w:rsidRPr="0050167D" w:rsidRDefault="00CA02AF" w:rsidP="009D2742">
            <w:pPr>
              <w:shd w:val="clear" w:color="auto" w:fill="FFFFFF"/>
              <w:spacing w:line="228" w:lineRule="auto"/>
              <w:ind w:right="-57"/>
              <w:jc w:val="both"/>
              <w:rPr>
                <w:spacing w:val="-4"/>
              </w:rPr>
            </w:pPr>
            <w:r>
              <w:t>Б</w:t>
            </w:r>
            <w:r w:rsidRPr="009866D0">
              <w:t>лижайшим к участку открытым центром питания является ПС 35/10 "</w:t>
            </w:r>
            <w:r>
              <w:t>Герчики</w:t>
            </w:r>
            <w:r w:rsidRPr="009866D0">
              <w:t>"</w:t>
            </w:r>
            <w:r>
              <w:t xml:space="preserve"> – 3,5 км</w:t>
            </w:r>
            <w:r w:rsidRPr="009866D0">
              <w:t>. Резерв мощности для технол</w:t>
            </w:r>
            <w:r>
              <w:t xml:space="preserve">огического присоединения 2,22 МВА. </w:t>
            </w:r>
            <w:r w:rsidRPr="0050167D">
              <w:t>Точка подключения на границе участка</w:t>
            </w:r>
            <w:r>
              <w:t xml:space="preserve"> (</w:t>
            </w:r>
            <w:r w:rsidRPr="0050167D">
              <w:t>подстанция на участке);</w:t>
            </w:r>
          </w:p>
        </w:tc>
        <w:tc>
          <w:tcPr>
            <w:tcW w:w="747" w:type="pct"/>
          </w:tcPr>
          <w:p w:rsidR="00CA02AF" w:rsidRDefault="00CA02AF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D86DF6">
              <w:rPr>
                <w:spacing w:val="-4"/>
              </w:rPr>
              <w:t>Филиал ОАО «МРСК-Центра» - «</w:t>
            </w:r>
            <w:r w:rsidRPr="00D86DF6">
              <w:rPr>
                <w:color w:val="000000"/>
                <w:spacing w:val="-4"/>
              </w:rPr>
              <w:t>Смоленскэнерго»</w:t>
            </w:r>
            <w:r w:rsidRPr="00D86DF6">
              <w:rPr>
                <w:color w:val="000000" w:themeColor="text1"/>
              </w:rPr>
              <w:t xml:space="preserve">214019, г.Смоленск, ул. Тенишевой, д.33 тел: (4812) 42-95-59 </w:t>
            </w:r>
            <w:r w:rsidRPr="00D86DF6">
              <w:rPr>
                <w:color w:val="000000" w:themeColor="text1"/>
              </w:rPr>
              <w:br/>
              <w:t>Факс: (4812) 42-95-12</w:t>
            </w:r>
          </w:p>
        </w:tc>
      </w:tr>
      <w:tr w:rsidR="00CA02AF" w:rsidTr="009D2742">
        <w:trPr>
          <w:cantSplit/>
          <w:trHeight w:val="286"/>
        </w:trPr>
        <w:tc>
          <w:tcPr>
            <w:tcW w:w="677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84" w:type="pct"/>
          </w:tcPr>
          <w:p w:rsidR="00CA02AF" w:rsidRPr="00A274AF" w:rsidRDefault="00CA02AF" w:rsidP="009D2742">
            <w:pPr>
              <w:jc w:val="both"/>
            </w:pPr>
            <w:r>
              <w:t>Т</w:t>
            </w:r>
            <w:r w:rsidRPr="00A274AF">
              <w:t xml:space="preserve">очка подключения на границе участка </w:t>
            </w:r>
          </w:p>
          <w:p w:rsidR="00CA02AF" w:rsidRDefault="00CA02AF" w:rsidP="009D2742">
            <w:pPr>
              <w:jc w:val="both"/>
              <w:rPr>
                <w:spacing w:val="-4"/>
              </w:rPr>
            </w:pPr>
            <w:r w:rsidRPr="00A274AF">
              <w:t>(труба диаметром 110мм).</w:t>
            </w:r>
            <w:r>
              <w:t xml:space="preserve"> С</w:t>
            </w:r>
            <w:r w:rsidRPr="0050167D">
              <w:t xml:space="preserve">роки осуществления технологического присоединения – 1 месяца;  стоимость технологического </w:t>
            </w:r>
            <w:r>
              <w:t>присоединения – 0,6 млн. рублей.</w:t>
            </w:r>
          </w:p>
        </w:tc>
        <w:tc>
          <w:tcPr>
            <w:tcW w:w="747" w:type="pct"/>
          </w:tcPr>
          <w:p w:rsidR="00CA02AF" w:rsidRDefault="00CA02AF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CA02AF" w:rsidTr="009D2742">
        <w:trPr>
          <w:cantSplit/>
          <w:trHeight w:val="286"/>
        </w:trPr>
        <w:tc>
          <w:tcPr>
            <w:tcW w:w="677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84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 Нет</w:t>
            </w:r>
          </w:p>
        </w:tc>
        <w:tc>
          <w:tcPr>
            <w:tcW w:w="747" w:type="pct"/>
          </w:tcPr>
          <w:p w:rsidR="00CA02AF" w:rsidRDefault="00CA02AF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CA02AF" w:rsidTr="009D2742">
        <w:trPr>
          <w:cantSplit/>
          <w:trHeight w:val="286"/>
        </w:trPr>
        <w:tc>
          <w:tcPr>
            <w:tcW w:w="677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84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 Нет</w:t>
            </w:r>
          </w:p>
        </w:tc>
        <w:tc>
          <w:tcPr>
            <w:tcW w:w="747" w:type="pct"/>
          </w:tcPr>
          <w:p w:rsidR="00CA02AF" w:rsidRDefault="00CA02AF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CA02AF" w:rsidRDefault="00CA02AF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CA02AF" w:rsidRDefault="00CA02AF" w:rsidP="00CA02AF">
      <w:pPr>
        <w:spacing w:line="228" w:lineRule="auto"/>
        <w:rPr>
          <w:b/>
        </w:rPr>
      </w:pPr>
    </w:p>
    <w:p w:rsidR="00CA02AF" w:rsidRDefault="00CA02AF" w:rsidP="00CA02AF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CA02AF" w:rsidRDefault="00CA02AF" w:rsidP="00CA02AF"/>
    <w:tbl>
      <w:tblPr>
        <w:tblW w:w="50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473"/>
        <w:gridCol w:w="7654"/>
      </w:tblGrid>
      <w:tr w:rsidR="00CA02AF" w:rsidTr="009D2742">
        <w:tc>
          <w:tcPr>
            <w:tcW w:w="2627" w:type="pct"/>
          </w:tcPr>
          <w:p w:rsidR="00CA02AF" w:rsidRDefault="00CA02AF" w:rsidP="009D2742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373" w:type="pct"/>
          </w:tcPr>
          <w:p w:rsidR="00CA02AF" w:rsidRDefault="00CA02AF" w:rsidP="009D2742">
            <w:r>
              <w:t>120</w:t>
            </w:r>
          </w:p>
        </w:tc>
      </w:tr>
      <w:tr w:rsidR="00CA02AF" w:rsidTr="009D2742">
        <w:tc>
          <w:tcPr>
            <w:tcW w:w="2627" w:type="pct"/>
          </w:tcPr>
          <w:p w:rsidR="00CA02AF" w:rsidRDefault="00CA02AF" w:rsidP="009D2742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373" w:type="pct"/>
          </w:tcPr>
          <w:p w:rsidR="00CA02AF" w:rsidRDefault="00CA02AF" w:rsidP="009D2742">
            <w:r>
              <w:t>661</w:t>
            </w:r>
          </w:p>
        </w:tc>
      </w:tr>
      <w:tr w:rsidR="00CA02AF" w:rsidTr="009D2742">
        <w:tc>
          <w:tcPr>
            <w:tcW w:w="2627" w:type="pct"/>
          </w:tcPr>
          <w:p w:rsidR="00CA02AF" w:rsidRDefault="00CA02AF" w:rsidP="009D2742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373" w:type="pct"/>
          </w:tcPr>
          <w:p w:rsidR="00CA02AF" w:rsidRDefault="00CA02AF" w:rsidP="009D2742">
            <w:r>
              <w:t>Пригорское сп – 3421; Хохловское сп -  993;   Талашкинское сп - 1538</w:t>
            </w:r>
          </w:p>
        </w:tc>
      </w:tr>
    </w:tbl>
    <w:p w:rsidR="00CA02AF" w:rsidRDefault="00CA02AF" w:rsidP="00CA02AF">
      <w:pPr>
        <w:pStyle w:val="1"/>
        <w:rPr>
          <w:sz w:val="24"/>
        </w:rPr>
      </w:pPr>
    </w:p>
    <w:p w:rsidR="00CA02AF" w:rsidRDefault="00CA02AF" w:rsidP="00CA02AF">
      <w:pPr>
        <w:pStyle w:val="1"/>
        <w:rPr>
          <w:sz w:val="24"/>
        </w:rPr>
      </w:pPr>
    </w:p>
    <w:p w:rsidR="00F6624F" w:rsidRPr="00CA02AF" w:rsidRDefault="00F6624F" w:rsidP="00CA02AF">
      <w:bookmarkStart w:id="0" w:name="_GoBack"/>
      <w:bookmarkEnd w:id="0"/>
    </w:p>
    <w:sectPr w:rsidR="00F6624F" w:rsidRPr="00CA02AF" w:rsidSect="00DA243F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23" w:rsidRDefault="00375E23" w:rsidP="00704740">
      <w:r>
        <w:separator/>
      </w:r>
    </w:p>
  </w:endnote>
  <w:endnote w:type="continuationSeparator" w:id="0">
    <w:p w:rsidR="00375E23" w:rsidRDefault="00375E23" w:rsidP="007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23" w:rsidRDefault="00375E23" w:rsidP="00704740">
      <w:r>
        <w:separator/>
      </w:r>
    </w:p>
  </w:footnote>
  <w:footnote w:type="continuationSeparator" w:id="0">
    <w:p w:rsidR="00375E23" w:rsidRDefault="00375E23" w:rsidP="0070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E65"/>
    <w:rsid w:val="00001336"/>
    <w:rsid w:val="00007C9A"/>
    <w:rsid w:val="00012B5C"/>
    <w:rsid w:val="00015406"/>
    <w:rsid w:val="0002442E"/>
    <w:rsid w:val="000433D6"/>
    <w:rsid w:val="00043D1E"/>
    <w:rsid w:val="000470FD"/>
    <w:rsid w:val="0005166F"/>
    <w:rsid w:val="00053E6A"/>
    <w:rsid w:val="00061D4C"/>
    <w:rsid w:val="000709FD"/>
    <w:rsid w:val="000721EE"/>
    <w:rsid w:val="00072562"/>
    <w:rsid w:val="0007370A"/>
    <w:rsid w:val="00080412"/>
    <w:rsid w:val="00081A37"/>
    <w:rsid w:val="000853A4"/>
    <w:rsid w:val="00090A58"/>
    <w:rsid w:val="00091721"/>
    <w:rsid w:val="000938D0"/>
    <w:rsid w:val="00094415"/>
    <w:rsid w:val="00096D4F"/>
    <w:rsid w:val="00097D7F"/>
    <w:rsid w:val="000A010F"/>
    <w:rsid w:val="000A62F4"/>
    <w:rsid w:val="000A6745"/>
    <w:rsid w:val="000B633D"/>
    <w:rsid w:val="000B6DA6"/>
    <w:rsid w:val="000C594F"/>
    <w:rsid w:val="000D400C"/>
    <w:rsid w:val="000D452C"/>
    <w:rsid w:val="000F03A1"/>
    <w:rsid w:val="000F140C"/>
    <w:rsid w:val="000F7685"/>
    <w:rsid w:val="00116BB4"/>
    <w:rsid w:val="00124399"/>
    <w:rsid w:val="00127680"/>
    <w:rsid w:val="00130B71"/>
    <w:rsid w:val="00133675"/>
    <w:rsid w:val="00137059"/>
    <w:rsid w:val="001404D3"/>
    <w:rsid w:val="00140D14"/>
    <w:rsid w:val="00141BB3"/>
    <w:rsid w:val="00155FD1"/>
    <w:rsid w:val="00164386"/>
    <w:rsid w:val="001643F7"/>
    <w:rsid w:val="0016577C"/>
    <w:rsid w:val="00171530"/>
    <w:rsid w:val="00175D26"/>
    <w:rsid w:val="00182163"/>
    <w:rsid w:val="001B504C"/>
    <w:rsid w:val="001C641B"/>
    <w:rsid w:val="001D55D8"/>
    <w:rsid w:val="001E4DCA"/>
    <w:rsid w:val="001E5047"/>
    <w:rsid w:val="001F78B1"/>
    <w:rsid w:val="0020545E"/>
    <w:rsid w:val="00217F45"/>
    <w:rsid w:val="00222BD2"/>
    <w:rsid w:val="00240560"/>
    <w:rsid w:val="00247022"/>
    <w:rsid w:val="00247939"/>
    <w:rsid w:val="00257660"/>
    <w:rsid w:val="0026162E"/>
    <w:rsid w:val="00266AC4"/>
    <w:rsid w:val="00266F8B"/>
    <w:rsid w:val="002770EB"/>
    <w:rsid w:val="00281865"/>
    <w:rsid w:val="002B6A01"/>
    <w:rsid w:val="002C0C61"/>
    <w:rsid w:val="002C1D1F"/>
    <w:rsid w:val="002C4689"/>
    <w:rsid w:val="002E671D"/>
    <w:rsid w:val="002F5F42"/>
    <w:rsid w:val="003004FD"/>
    <w:rsid w:val="0030550C"/>
    <w:rsid w:val="003158C0"/>
    <w:rsid w:val="00334CE1"/>
    <w:rsid w:val="003424C2"/>
    <w:rsid w:val="00343742"/>
    <w:rsid w:val="00344F3F"/>
    <w:rsid w:val="00374BC1"/>
    <w:rsid w:val="00375E23"/>
    <w:rsid w:val="003840E0"/>
    <w:rsid w:val="00390FD1"/>
    <w:rsid w:val="003915C9"/>
    <w:rsid w:val="003A1541"/>
    <w:rsid w:val="003A279E"/>
    <w:rsid w:val="003A3342"/>
    <w:rsid w:val="003A58C7"/>
    <w:rsid w:val="003A7CBF"/>
    <w:rsid w:val="003B0E66"/>
    <w:rsid w:val="003B1B2E"/>
    <w:rsid w:val="003B7B02"/>
    <w:rsid w:val="003C0BF8"/>
    <w:rsid w:val="003C28A7"/>
    <w:rsid w:val="003C3A5E"/>
    <w:rsid w:val="003C40ED"/>
    <w:rsid w:val="003D42AC"/>
    <w:rsid w:val="003D6C8F"/>
    <w:rsid w:val="003F317D"/>
    <w:rsid w:val="003F6B86"/>
    <w:rsid w:val="00410A01"/>
    <w:rsid w:val="00410B1C"/>
    <w:rsid w:val="00420D80"/>
    <w:rsid w:val="004341BF"/>
    <w:rsid w:val="00442575"/>
    <w:rsid w:val="004526AE"/>
    <w:rsid w:val="004573AE"/>
    <w:rsid w:val="00463ABE"/>
    <w:rsid w:val="00465489"/>
    <w:rsid w:val="00470CD4"/>
    <w:rsid w:val="00476568"/>
    <w:rsid w:val="00487108"/>
    <w:rsid w:val="00493BAB"/>
    <w:rsid w:val="00497E0E"/>
    <w:rsid w:val="004A5A75"/>
    <w:rsid w:val="004D3339"/>
    <w:rsid w:val="004E15A7"/>
    <w:rsid w:val="0050167D"/>
    <w:rsid w:val="005172BD"/>
    <w:rsid w:val="00521163"/>
    <w:rsid w:val="00530AD8"/>
    <w:rsid w:val="005673BB"/>
    <w:rsid w:val="005706ED"/>
    <w:rsid w:val="00577EB8"/>
    <w:rsid w:val="00580034"/>
    <w:rsid w:val="00593D41"/>
    <w:rsid w:val="005A0AD3"/>
    <w:rsid w:val="005A591F"/>
    <w:rsid w:val="005B042F"/>
    <w:rsid w:val="005C3958"/>
    <w:rsid w:val="005C4887"/>
    <w:rsid w:val="005D37E7"/>
    <w:rsid w:val="005E11D3"/>
    <w:rsid w:val="005E1444"/>
    <w:rsid w:val="005E1A37"/>
    <w:rsid w:val="005E2944"/>
    <w:rsid w:val="005E4153"/>
    <w:rsid w:val="005F1231"/>
    <w:rsid w:val="005F1AC6"/>
    <w:rsid w:val="00601830"/>
    <w:rsid w:val="006072EA"/>
    <w:rsid w:val="00615EB3"/>
    <w:rsid w:val="00616DAF"/>
    <w:rsid w:val="0062438C"/>
    <w:rsid w:val="00625BEC"/>
    <w:rsid w:val="006338C3"/>
    <w:rsid w:val="00642CBB"/>
    <w:rsid w:val="00644A60"/>
    <w:rsid w:val="00651C7B"/>
    <w:rsid w:val="0065275C"/>
    <w:rsid w:val="00654D49"/>
    <w:rsid w:val="00661D0C"/>
    <w:rsid w:val="006659BA"/>
    <w:rsid w:val="006706FE"/>
    <w:rsid w:val="00671930"/>
    <w:rsid w:val="006719D8"/>
    <w:rsid w:val="00673FC0"/>
    <w:rsid w:val="00687D3F"/>
    <w:rsid w:val="0069194D"/>
    <w:rsid w:val="00695113"/>
    <w:rsid w:val="006B0B08"/>
    <w:rsid w:val="006B2C25"/>
    <w:rsid w:val="006C29E3"/>
    <w:rsid w:val="006E259A"/>
    <w:rsid w:val="00700198"/>
    <w:rsid w:val="00701298"/>
    <w:rsid w:val="00701CDF"/>
    <w:rsid w:val="00704740"/>
    <w:rsid w:val="007132C4"/>
    <w:rsid w:val="007133E6"/>
    <w:rsid w:val="00715C19"/>
    <w:rsid w:val="00726B93"/>
    <w:rsid w:val="007406FA"/>
    <w:rsid w:val="007439E1"/>
    <w:rsid w:val="007552E1"/>
    <w:rsid w:val="007611EA"/>
    <w:rsid w:val="007640C8"/>
    <w:rsid w:val="007713C8"/>
    <w:rsid w:val="007762C1"/>
    <w:rsid w:val="00777BAF"/>
    <w:rsid w:val="00784ECA"/>
    <w:rsid w:val="007A0C0C"/>
    <w:rsid w:val="007A245C"/>
    <w:rsid w:val="007A7E82"/>
    <w:rsid w:val="007B1295"/>
    <w:rsid w:val="007B44C4"/>
    <w:rsid w:val="007C351F"/>
    <w:rsid w:val="007C4883"/>
    <w:rsid w:val="007C5199"/>
    <w:rsid w:val="007C5F62"/>
    <w:rsid w:val="007D1AB8"/>
    <w:rsid w:val="007D1B7D"/>
    <w:rsid w:val="007D757D"/>
    <w:rsid w:val="007E0705"/>
    <w:rsid w:val="007E22A7"/>
    <w:rsid w:val="007F1E00"/>
    <w:rsid w:val="007F4600"/>
    <w:rsid w:val="007F6043"/>
    <w:rsid w:val="00805319"/>
    <w:rsid w:val="00805527"/>
    <w:rsid w:val="008261FA"/>
    <w:rsid w:val="008267BC"/>
    <w:rsid w:val="00837888"/>
    <w:rsid w:val="00840505"/>
    <w:rsid w:val="00851C25"/>
    <w:rsid w:val="00860076"/>
    <w:rsid w:val="008670D6"/>
    <w:rsid w:val="00873759"/>
    <w:rsid w:val="0087440A"/>
    <w:rsid w:val="00885E3C"/>
    <w:rsid w:val="00892673"/>
    <w:rsid w:val="00892BA7"/>
    <w:rsid w:val="00897A5E"/>
    <w:rsid w:val="008A23BB"/>
    <w:rsid w:val="008A507B"/>
    <w:rsid w:val="008A7732"/>
    <w:rsid w:val="008B2B3F"/>
    <w:rsid w:val="008C03EE"/>
    <w:rsid w:val="008C543F"/>
    <w:rsid w:val="008D035D"/>
    <w:rsid w:val="008D7ACC"/>
    <w:rsid w:val="008E037E"/>
    <w:rsid w:val="008E105E"/>
    <w:rsid w:val="008E329F"/>
    <w:rsid w:val="008E4E90"/>
    <w:rsid w:val="008F0BC7"/>
    <w:rsid w:val="008F0DCA"/>
    <w:rsid w:val="0090167A"/>
    <w:rsid w:val="0090323A"/>
    <w:rsid w:val="009047E9"/>
    <w:rsid w:val="0090483E"/>
    <w:rsid w:val="00911FAA"/>
    <w:rsid w:val="00937188"/>
    <w:rsid w:val="00941314"/>
    <w:rsid w:val="009416C1"/>
    <w:rsid w:val="0094397C"/>
    <w:rsid w:val="009514FD"/>
    <w:rsid w:val="0095296F"/>
    <w:rsid w:val="0096572B"/>
    <w:rsid w:val="00976E9D"/>
    <w:rsid w:val="00977D9C"/>
    <w:rsid w:val="00980250"/>
    <w:rsid w:val="009827E3"/>
    <w:rsid w:val="009866D0"/>
    <w:rsid w:val="0099195C"/>
    <w:rsid w:val="00995D51"/>
    <w:rsid w:val="009A1B37"/>
    <w:rsid w:val="009A41BF"/>
    <w:rsid w:val="009D3772"/>
    <w:rsid w:val="009D3CE4"/>
    <w:rsid w:val="009D6AA0"/>
    <w:rsid w:val="009F0539"/>
    <w:rsid w:val="009F1188"/>
    <w:rsid w:val="009F22F4"/>
    <w:rsid w:val="009F7F0A"/>
    <w:rsid w:val="00A00E15"/>
    <w:rsid w:val="00A0333B"/>
    <w:rsid w:val="00A05306"/>
    <w:rsid w:val="00A074C3"/>
    <w:rsid w:val="00A1167C"/>
    <w:rsid w:val="00A15C37"/>
    <w:rsid w:val="00A20805"/>
    <w:rsid w:val="00A238C4"/>
    <w:rsid w:val="00A27B0C"/>
    <w:rsid w:val="00A27BF0"/>
    <w:rsid w:val="00A30BEF"/>
    <w:rsid w:val="00A335EC"/>
    <w:rsid w:val="00A469AC"/>
    <w:rsid w:val="00A46BA6"/>
    <w:rsid w:val="00A472F7"/>
    <w:rsid w:val="00A54E5B"/>
    <w:rsid w:val="00A57533"/>
    <w:rsid w:val="00A64700"/>
    <w:rsid w:val="00A74F76"/>
    <w:rsid w:val="00A75A22"/>
    <w:rsid w:val="00A7604A"/>
    <w:rsid w:val="00A844A4"/>
    <w:rsid w:val="00A87C7D"/>
    <w:rsid w:val="00A95FC7"/>
    <w:rsid w:val="00AA3061"/>
    <w:rsid w:val="00AA49D7"/>
    <w:rsid w:val="00AA5880"/>
    <w:rsid w:val="00AB748D"/>
    <w:rsid w:val="00AC28F4"/>
    <w:rsid w:val="00AC2E4A"/>
    <w:rsid w:val="00AE2EAC"/>
    <w:rsid w:val="00AE6694"/>
    <w:rsid w:val="00AE6EF0"/>
    <w:rsid w:val="00AF03C2"/>
    <w:rsid w:val="00AF1435"/>
    <w:rsid w:val="00B00955"/>
    <w:rsid w:val="00B02CC7"/>
    <w:rsid w:val="00B03698"/>
    <w:rsid w:val="00B06E3E"/>
    <w:rsid w:val="00B1732C"/>
    <w:rsid w:val="00B176C6"/>
    <w:rsid w:val="00B276F3"/>
    <w:rsid w:val="00B3359D"/>
    <w:rsid w:val="00B3705F"/>
    <w:rsid w:val="00B46ADE"/>
    <w:rsid w:val="00B6043E"/>
    <w:rsid w:val="00B630A7"/>
    <w:rsid w:val="00B77AF2"/>
    <w:rsid w:val="00B842CD"/>
    <w:rsid w:val="00B8559F"/>
    <w:rsid w:val="00B9015B"/>
    <w:rsid w:val="00B90A31"/>
    <w:rsid w:val="00B921E7"/>
    <w:rsid w:val="00B9500A"/>
    <w:rsid w:val="00BA0D70"/>
    <w:rsid w:val="00BB0F98"/>
    <w:rsid w:val="00BB7C6F"/>
    <w:rsid w:val="00BD66AB"/>
    <w:rsid w:val="00BE042B"/>
    <w:rsid w:val="00BE1133"/>
    <w:rsid w:val="00BE53E3"/>
    <w:rsid w:val="00BE7EFD"/>
    <w:rsid w:val="00C061AD"/>
    <w:rsid w:val="00C11DE7"/>
    <w:rsid w:val="00C33047"/>
    <w:rsid w:val="00C365B0"/>
    <w:rsid w:val="00C46083"/>
    <w:rsid w:val="00C46195"/>
    <w:rsid w:val="00C47C00"/>
    <w:rsid w:val="00C57B33"/>
    <w:rsid w:val="00C61FAE"/>
    <w:rsid w:val="00C66404"/>
    <w:rsid w:val="00C664C0"/>
    <w:rsid w:val="00C83577"/>
    <w:rsid w:val="00C83BCB"/>
    <w:rsid w:val="00CA02AF"/>
    <w:rsid w:val="00CA4E60"/>
    <w:rsid w:val="00CC2CB2"/>
    <w:rsid w:val="00CC4C6E"/>
    <w:rsid w:val="00CD4625"/>
    <w:rsid w:val="00CF08F4"/>
    <w:rsid w:val="00D04265"/>
    <w:rsid w:val="00D1239C"/>
    <w:rsid w:val="00D1350A"/>
    <w:rsid w:val="00D17F8F"/>
    <w:rsid w:val="00D27933"/>
    <w:rsid w:val="00D340D7"/>
    <w:rsid w:val="00D42876"/>
    <w:rsid w:val="00D458CB"/>
    <w:rsid w:val="00D46255"/>
    <w:rsid w:val="00D51498"/>
    <w:rsid w:val="00D5553B"/>
    <w:rsid w:val="00D6056C"/>
    <w:rsid w:val="00D70889"/>
    <w:rsid w:val="00D7111A"/>
    <w:rsid w:val="00D77AED"/>
    <w:rsid w:val="00D801E8"/>
    <w:rsid w:val="00D8025D"/>
    <w:rsid w:val="00D907E2"/>
    <w:rsid w:val="00D9250A"/>
    <w:rsid w:val="00D94B8B"/>
    <w:rsid w:val="00D97FEF"/>
    <w:rsid w:val="00DA243F"/>
    <w:rsid w:val="00DA4250"/>
    <w:rsid w:val="00DA4C34"/>
    <w:rsid w:val="00DB1E41"/>
    <w:rsid w:val="00DD0B54"/>
    <w:rsid w:val="00DD26FE"/>
    <w:rsid w:val="00DF0B14"/>
    <w:rsid w:val="00DF31EE"/>
    <w:rsid w:val="00DF3D80"/>
    <w:rsid w:val="00E00386"/>
    <w:rsid w:val="00E0665D"/>
    <w:rsid w:val="00E07261"/>
    <w:rsid w:val="00E075FA"/>
    <w:rsid w:val="00E10582"/>
    <w:rsid w:val="00E154B1"/>
    <w:rsid w:val="00E15E22"/>
    <w:rsid w:val="00E2621A"/>
    <w:rsid w:val="00E347CF"/>
    <w:rsid w:val="00E420C3"/>
    <w:rsid w:val="00E47583"/>
    <w:rsid w:val="00E47DBE"/>
    <w:rsid w:val="00E55245"/>
    <w:rsid w:val="00E55612"/>
    <w:rsid w:val="00E57CD0"/>
    <w:rsid w:val="00E61329"/>
    <w:rsid w:val="00E74045"/>
    <w:rsid w:val="00E831F2"/>
    <w:rsid w:val="00E857FC"/>
    <w:rsid w:val="00E85A80"/>
    <w:rsid w:val="00E87BCD"/>
    <w:rsid w:val="00EA2897"/>
    <w:rsid w:val="00EA5258"/>
    <w:rsid w:val="00EA6EBF"/>
    <w:rsid w:val="00EB47F3"/>
    <w:rsid w:val="00EB4B3A"/>
    <w:rsid w:val="00EE0686"/>
    <w:rsid w:val="00EE6397"/>
    <w:rsid w:val="00EF10C4"/>
    <w:rsid w:val="00EF3E80"/>
    <w:rsid w:val="00EF430E"/>
    <w:rsid w:val="00EF5184"/>
    <w:rsid w:val="00EF57A3"/>
    <w:rsid w:val="00F05193"/>
    <w:rsid w:val="00F062AF"/>
    <w:rsid w:val="00F247DA"/>
    <w:rsid w:val="00F32477"/>
    <w:rsid w:val="00F336EC"/>
    <w:rsid w:val="00F50F68"/>
    <w:rsid w:val="00F561E6"/>
    <w:rsid w:val="00F6029C"/>
    <w:rsid w:val="00F62266"/>
    <w:rsid w:val="00F6624F"/>
    <w:rsid w:val="00F763CD"/>
    <w:rsid w:val="00F87669"/>
    <w:rsid w:val="00FA0BD8"/>
    <w:rsid w:val="00FA2339"/>
    <w:rsid w:val="00FB706E"/>
    <w:rsid w:val="00FC7163"/>
    <w:rsid w:val="00FD54A9"/>
    <w:rsid w:val="00FE15A9"/>
    <w:rsid w:val="00FE5F2F"/>
    <w:rsid w:val="00FE7552"/>
    <w:rsid w:val="00FF0E65"/>
    <w:rsid w:val="00FF2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BB2F0-56F6-404D-BC4E-E395FF6E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E65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FF0E65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FF0E65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FF0E65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FF0E65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FF0E65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E65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FF0E65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F0E6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F0E65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F0E65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F0E6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032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04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047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397"/>
  </w:style>
  <w:style w:type="character" w:styleId="a8">
    <w:name w:val="Hyperlink"/>
    <w:basedOn w:val="a0"/>
    <w:uiPriority w:val="99"/>
    <w:unhideWhenUsed/>
    <w:rsid w:val="00EE6397"/>
    <w:rPr>
      <w:color w:val="0000FF"/>
      <w:u w:val="single"/>
    </w:rPr>
  </w:style>
  <w:style w:type="character" w:styleId="a9">
    <w:name w:val="Strong"/>
    <w:basedOn w:val="a0"/>
    <w:uiPriority w:val="22"/>
    <w:qFormat/>
    <w:rsid w:val="008B2B3F"/>
    <w:rPr>
      <w:b/>
      <w:bCs/>
    </w:rPr>
  </w:style>
  <w:style w:type="paragraph" w:styleId="aa">
    <w:name w:val="Normal (Web)"/>
    <w:basedOn w:val="a"/>
    <w:uiPriority w:val="99"/>
    <w:unhideWhenUsed/>
    <w:rsid w:val="008B2B3F"/>
    <w:pPr>
      <w:spacing w:before="100" w:beforeAutospacing="1" w:after="100" w:afterAutospacing="1"/>
    </w:pPr>
  </w:style>
  <w:style w:type="character" w:customStyle="1" w:styleId="nowrap">
    <w:name w:val="nowrap"/>
    <w:basedOn w:val="a0"/>
    <w:rsid w:val="0087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55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7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4279-64D2-4478-AEAD-76CDB35F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Ерохова Мария Александровна</cp:lastModifiedBy>
  <cp:revision>6</cp:revision>
  <cp:lastPrinted>2018-02-08T10:49:00Z</cp:lastPrinted>
  <dcterms:created xsi:type="dcterms:W3CDTF">2018-02-08T09:37:00Z</dcterms:created>
  <dcterms:modified xsi:type="dcterms:W3CDTF">2019-02-14T12:39:00Z</dcterms:modified>
</cp:coreProperties>
</file>